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AE7" w:rsidRPr="00023562" w:rsidRDefault="00261AE7" w:rsidP="00023562">
      <w:pPr>
        <w:jc w:val="left"/>
        <w:rPr>
          <w:sz w:val="32"/>
          <w:szCs w:val="32"/>
        </w:rPr>
      </w:pPr>
      <w:bookmarkStart w:id="0" w:name="_GoBack"/>
      <w:bookmarkEnd w:id="0"/>
    </w:p>
    <w:p w:rsidR="00261AE7" w:rsidRPr="00023562" w:rsidRDefault="00261AE7" w:rsidP="00023562">
      <w:pPr>
        <w:jc w:val="left"/>
        <w:rPr>
          <w:sz w:val="32"/>
          <w:szCs w:val="32"/>
        </w:rPr>
      </w:pPr>
    </w:p>
    <w:p w:rsidR="00261AE7" w:rsidRPr="00023562" w:rsidRDefault="00261AE7" w:rsidP="00023562">
      <w:pPr>
        <w:jc w:val="left"/>
        <w:rPr>
          <w:sz w:val="32"/>
          <w:szCs w:val="32"/>
        </w:rPr>
      </w:pPr>
    </w:p>
    <w:p w:rsidR="00261AE7" w:rsidRPr="00023562" w:rsidRDefault="00261AE7" w:rsidP="00023562">
      <w:pPr>
        <w:jc w:val="left"/>
        <w:rPr>
          <w:sz w:val="32"/>
          <w:szCs w:val="32"/>
        </w:rPr>
      </w:pPr>
    </w:p>
    <w:p w:rsidR="00261AE7" w:rsidRDefault="00261AE7" w:rsidP="00023562">
      <w:pPr>
        <w:jc w:val="left"/>
        <w:rPr>
          <w:sz w:val="32"/>
          <w:szCs w:val="32"/>
        </w:rPr>
      </w:pPr>
    </w:p>
    <w:p w:rsidR="00023562" w:rsidRDefault="00023562" w:rsidP="00023562">
      <w:pPr>
        <w:jc w:val="left"/>
        <w:rPr>
          <w:sz w:val="32"/>
          <w:szCs w:val="32"/>
        </w:rPr>
      </w:pPr>
    </w:p>
    <w:p w:rsidR="00023562" w:rsidRDefault="00023562" w:rsidP="00023562">
      <w:pPr>
        <w:jc w:val="left"/>
        <w:rPr>
          <w:sz w:val="32"/>
          <w:szCs w:val="32"/>
        </w:rPr>
      </w:pPr>
    </w:p>
    <w:p w:rsidR="000E3C5E" w:rsidRPr="006C5A37" w:rsidRDefault="000E3C5E" w:rsidP="000E3C5E">
      <w:pPr>
        <w:jc w:val="center"/>
        <w:rPr>
          <w:b/>
          <w:sz w:val="32"/>
          <w:szCs w:val="32"/>
        </w:rPr>
      </w:pPr>
      <w:r w:rsidRPr="006C5A37">
        <w:rPr>
          <w:b/>
          <w:sz w:val="32"/>
          <w:szCs w:val="32"/>
        </w:rPr>
        <w:t>IV.</w:t>
      </w:r>
    </w:p>
    <w:p w:rsidR="00023562" w:rsidRDefault="00023562" w:rsidP="00023562">
      <w:pPr>
        <w:jc w:val="left"/>
        <w:rPr>
          <w:sz w:val="32"/>
          <w:szCs w:val="32"/>
        </w:rPr>
      </w:pPr>
    </w:p>
    <w:p w:rsidR="00023562" w:rsidRPr="00023562" w:rsidRDefault="00023562" w:rsidP="00023562">
      <w:pPr>
        <w:jc w:val="left"/>
        <w:rPr>
          <w:sz w:val="32"/>
          <w:szCs w:val="32"/>
        </w:rPr>
      </w:pPr>
    </w:p>
    <w:p w:rsidR="006C5A37" w:rsidRDefault="000E3C5E" w:rsidP="0002356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Příloha č. 1 </w:t>
      </w:r>
    </w:p>
    <w:p w:rsidR="00261AE7" w:rsidRPr="00023562" w:rsidRDefault="00C26520" w:rsidP="0002356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</w:t>
      </w:r>
      <w:r w:rsidRPr="00C26520">
        <w:rPr>
          <w:b/>
          <w:sz w:val="36"/>
          <w:szCs w:val="36"/>
        </w:rPr>
        <w:t>nalýz</w:t>
      </w:r>
      <w:r>
        <w:rPr>
          <w:b/>
          <w:sz w:val="36"/>
          <w:szCs w:val="36"/>
        </w:rPr>
        <w:t>a</w:t>
      </w:r>
      <w:r w:rsidRPr="00C26520">
        <w:rPr>
          <w:b/>
          <w:sz w:val="36"/>
          <w:szCs w:val="36"/>
        </w:rPr>
        <w:t xml:space="preserve"> praxe </w:t>
      </w:r>
      <w:r>
        <w:rPr>
          <w:b/>
          <w:sz w:val="36"/>
          <w:szCs w:val="36"/>
        </w:rPr>
        <w:t xml:space="preserve">a zkušeností </w:t>
      </w:r>
      <w:r w:rsidRPr="00C26520">
        <w:rPr>
          <w:b/>
          <w:sz w:val="36"/>
          <w:szCs w:val="36"/>
        </w:rPr>
        <w:t xml:space="preserve">s realizací centrálního nákupu státu ve vybraných zemích </w:t>
      </w:r>
      <w:r>
        <w:rPr>
          <w:b/>
          <w:sz w:val="36"/>
          <w:szCs w:val="36"/>
        </w:rPr>
        <w:t>EU</w:t>
      </w:r>
    </w:p>
    <w:p w:rsidR="00261AE7" w:rsidRPr="00023562" w:rsidRDefault="00261AE7" w:rsidP="00023562">
      <w:pPr>
        <w:jc w:val="left"/>
        <w:rPr>
          <w:sz w:val="36"/>
          <w:szCs w:val="36"/>
        </w:rPr>
      </w:pPr>
    </w:p>
    <w:p w:rsidR="00261AE7" w:rsidRDefault="00261AE7" w:rsidP="00023562">
      <w:pPr>
        <w:jc w:val="left"/>
        <w:rPr>
          <w:sz w:val="32"/>
          <w:szCs w:val="32"/>
        </w:rPr>
      </w:pPr>
    </w:p>
    <w:p w:rsidR="00023562" w:rsidRPr="00023562" w:rsidRDefault="00023562" w:rsidP="00023562">
      <w:pPr>
        <w:jc w:val="left"/>
        <w:rPr>
          <w:sz w:val="32"/>
          <w:szCs w:val="32"/>
        </w:rPr>
      </w:pPr>
    </w:p>
    <w:p w:rsidR="00261AE7" w:rsidRDefault="00261AE7" w:rsidP="00023562">
      <w:pPr>
        <w:jc w:val="left"/>
        <w:rPr>
          <w:sz w:val="32"/>
          <w:szCs w:val="32"/>
        </w:rPr>
      </w:pPr>
    </w:p>
    <w:p w:rsidR="00023562" w:rsidRDefault="00023562" w:rsidP="00023562">
      <w:pPr>
        <w:jc w:val="left"/>
        <w:rPr>
          <w:sz w:val="32"/>
          <w:szCs w:val="32"/>
        </w:rPr>
      </w:pPr>
    </w:p>
    <w:p w:rsidR="00023562" w:rsidRPr="00023562" w:rsidRDefault="00023562" w:rsidP="00023562">
      <w:pPr>
        <w:jc w:val="left"/>
        <w:rPr>
          <w:rFonts w:eastAsia="Times New Roman" w:cs="Arial"/>
          <w:b/>
          <w:lang w:eastAsia="cs-CZ"/>
        </w:rPr>
      </w:pPr>
      <w:r w:rsidRPr="00023562">
        <w:rPr>
          <w:rFonts w:eastAsia="Times New Roman" w:cs="Arial"/>
          <w:b/>
          <w:lang w:eastAsia="cs-CZ"/>
        </w:rPr>
        <w:t>Zpracovatel:</w:t>
      </w:r>
      <w:r w:rsidRPr="00023562">
        <w:rPr>
          <w:rFonts w:eastAsia="Times New Roman" w:cs="Arial"/>
          <w:b/>
          <w:lang w:eastAsia="cs-CZ"/>
        </w:rPr>
        <w:tab/>
        <w:t>Česká republika – Ministerstvo financí</w:t>
      </w:r>
    </w:p>
    <w:p w:rsidR="00023562" w:rsidRPr="00023562" w:rsidRDefault="00023562" w:rsidP="00023562">
      <w:pPr>
        <w:jc w:val="left"/>
        <w:rPr>
          <w:rFonts w:eastAsia="Times New Roman" w:cs="Arial"/>
          <w:lang w:eastAsia="cs-CZ"/>
        </w:rPr>
      </w:pPr>
      <w:r w:rsidRPr="00023562">
        <w:rPr>
          <w:rFonts w:eastAsia="Times New Roman" w:cs="Arial"/>
          <w:lang w:eastAsia="cs-CZ"/>
        </w:rPr>
        <w:tab/>
      </w:r>
      <w:r w:rsidRPr="00023562">
        <w:rPr>
          <w:rFonts w:eastAsia="Times New Roman" w:cs="Arial"/>
          <w:lang w:eastAsia="cs-CZ"/>
        </w:rPr>
        <w:tab/>
      </w:r>
      <w:r>
        <w:rPr>
          <w:rFonts w:eastAsia="Times New Roman" w:cs="Arial"/>
          <w:lang w:eastAsia="cs-CZ"/>
        </w:rPr>
        <w:t>Odbor 47 – Centrální harmonizační jednotka</w:t>
      </w:r>
    </w:p>
    <w:p w:rsidR="00261AE7" w:rsidRDefault="00261AE7" w:rsidP="00023562">
      <w:pPr>
        <w:jc w:val="left"/>
        <w:rPr>
          <w:rFonts w:eastAsia="Times New Roman" w:cs="Arial"/>
          <w:lang w:eastAsia="cs-CZ"/>
        </w:rPr>
      </w:pPr>
    </w:p>
    <w:p w:rsidR="00023562" w:rsidRDefault="00023562" w:rsidP="00023562">
      <w:pPr>
        <w:jc w:val="left"/>
        <w:rPr>
          <w:rFonts w:eastAsia="Times New Roman" w:cs="Arial"/>
          <w:lang w:eastAsia="cs-CZ"/>
        </w:rPr>
      </w:pPr>
    </w:p>
    <w:p w:rsidR="00023562" w:rsidRDefault="00023562" w:rsidP="00023562">
      <w:pPr>
        <w:jc w:val="left"/>
        <w:rPr>
          <w:rFonts w:eastAsia="Times New Roman" w:cs="Arial"/>
          <w:lang w:eastAsia="cs-CZ"/>
        </w:rPr>
      </w:pPr>
    </w:p>
    <w:p w:rsidR="00023562" w:rsidRDefault="00023562" w:rsidP="00023562">
      <w:pPr>
        <w:jc w:val="left"/>
        <w:rPr>
          <w:rFonts w:eastAsia="Times New Roman" w:cs="Arial"/>
          <w:lang w:eastAsia="cs-CZ"/>
        </w:rPr>
      </w:pPr>
    </w:p>
    <w:p w:rsidR="00023562" w:rsidRDefault="00023562" w:rsidP="00023562">
      <w:pPr>
        <w:jc w:val="left"/>
        <w:rPr>
          <w:rFonts w:eastAsia="Times New Roman" w:cs="Arial"/>
          <w:lang w:eastAsia="cs-CZ"/>
        </w:rPr>
      </w:pPr>
    </w:p>
    <w:p w:rsidR="00023562" w:rsidRDefault="00023562" w:rsidP="00023562">
      <w:pPr>
        <w:jc w:val="left"/>
        <w:rPr>
          <w:rFonts w:eastAsia="Times New Roman" w:cs="Arial"/>
          <w:lang w:eastAsia="cs-CZ"/>
        </w:rPr>
      </w:pPr>
    </w:p>
    <w:p w:rsidR="00023562" w:rsidRDefault="00023562" w:rsidP="00023562">
      <w:pPr>
        <w:jc w:val="left"/>
        <w:rPr>
          <w:rFonts w:eastAsia="Times New Roman" w:cs="Arial"/>
          <w:lang w:eastAsia="cs-CZ"/>
        </w:rPr>
      </w:pPr>
    </w:p>
    <w:p w:rsidR="00023562" w:rsidRDefault="00023562" w:rsidP="00023562">
      <w:pPr>
        <w:jc w:val="left"/>
        <w:rPr>
          <w:rFonts w:eastAsia="Times New Roman" w:cs="Arial"/>
          <w:lang w:eastAsia="cs-CZ"/>
        </w:rPr>
      </w:pPr>
    </w:p>
    <w:p w:rsidR="00023562" w:rsidRDefault="00023562" w:rsidP="00023562">
      <w:pPr>
        <w:jc w:val="left"/>
        <w:rPr>
          <w:rFonts w:eastAsia="Times New Roman" w:cs="Arial"/>
          <w:lang w:eastAsia="cs-CZ"/>
        </w:rPr>
      </w:pPr>
    </w:p>
    <w:p w:rsidR="00023562" w:rsidRPr="00023562" w:rsidRDefault="00023562" w:rsidP="00023562">
      <w:pPr>
        <w:jc w:val="left"/>
        <w:rPr>
          <w:rFonts w:eastAsia="Times New Roman" w:cs="Arial"/>
          <w:lang w:eastAsia="cs-CZ"/>
        </w:rPr>
      </w:pPr>
    </w:p>
    <w:p w:rsidR="00806AEF" w:rsidRPr="00023562" w:rsidRDefault="00023562" w:rsidP="00023562">
      <w:pPr>
        <w:jc w:val="left"/>
        <w:rPr>
          <w:rFonts w:eastAsia="Times New Roman" w:cs="Arial"/>
          <w:lang w:eastAsia="cs-CZ"/>
        </w:rPr>
        <w:sectPr w:rsidR="00806AEF" w:rsidRPr="00023562" w:rsidSect="00C26520">
          <w:headerReference w:type="default" r:id="rId9"/>
          <w:pgSz w:w="11906" w:h="16838" w:code="9"/>
          <w:pgMar w:top="1669" w:right="1418" w:bottom="1418" w:left="1418" w:header="709" w:footer="687" w:gutter="0"/>
          <w:cols w:space="708"/>
          <w:docGrid w:linePitch="360"/>
        </w:sectPr>
      </w:pPr>
      <w:r>
        <w:t>Únor</w:t>
      </w:r>
      <w:r w:rsidR="00165C77" w:rsidRPr="00023562">
        <w:t xml:space="preserve"> 2015</w:t>
      </w:r>
    </w:p>
    <w:p w:rsidR="00806AEF" w:rsidRDefault="00806AEF" w:rsidP="00817955">
      <w:pPr>
        <w:pStyle w:val="Nadpisobsahu"/>
      </w:pPr>
      <w:bookmarkStart w:id="1" w:name="_Toc339437031"/>
      <w:r w:rsidRPr="00E351F8">
        <w:lastRenderedPageBreak/>
        <w:t>Obsah</w:t>
      </w:r>
      <w:bookmarkEnd w:id="1"/>
    </w:p>
    <w:p w:rsidR="00960007" w:rsidRDefault="004C31CD">
      <w:pPr>
        <w:pStyle w:val="Obsah1"/>
        <w:rPr>
          <w:rFonts w:cstheme="minorBidi"/>
          <w:noProof/>
          <w:sz w:val="22"/>
          <w:szCs w:val="22"/>
          <w:lang w:eastAsia="cs-CZ"/>
        </w:rPr>
      </w:pPr>
      <w:r>
        <w:fldChar w:fldCharType="begin"/>
      </w:r>
      <w:r>
        <w:instrText xml:space="preserve"> TOC \t "Nadpis 1;1;Nadpis 2;2;Nadpis 3;3" </w:instrText>
      </w:r>
      <w:r>
        <w:fldChar w:fldCharType="separate"/>
      </w:r>
      <w:r w:rsidR="00960007">
        <w:rPr>
          <w:noProof/>
        </w:rPr>
        <w:t>1</w:t>
      </w:r>
      <w:r w:rsidR="00960007">
        <w:rPr>
          <w:rFonts w:cstheme="minorBidi"/>
          <w:noProof/>
          <w:sz w:val="22"/>
          <w:szCs w:val="22"/>
          <w:lang w:eastAsia="cs-CZ"/>
        </w:rPr>
        <w:tab/>
      </w:r>
      <w:r w:rsidR="00960007">
        <w:rPr>
          <w:noProof/>
        </w:rPr>
        <w:t>Shrnutí</w:t>
      </w:r>
      <w:r w:rsidR="00960007">
        <w:rPr>
          <w:noProof/>
        </w:rPr>
        <w:tab/>
      </w:r>
      <w:r w:rsidR="00960007">
        <w:rPr>
          <w:noProof/>
        </w:rPr>
        <w:fldChar w:fldCharType="begin"/>
      </w:r>
      <w:r w:rsidR="00960007">
        <w:rPr>
          <w:noProof/>
        </w:rPr>
        <w:instrText xml:space="preserve"> PAGEREF _Toc411520429 \h </w:instrText>
      </w:r>
      <w:r w:rsidR="00960007">
        <w:rPr>
          <w:noProof/>
        </w:rPr>
      </w:r>
      <w:r w:rsidR="00960007">
        <w:rPr>
          <w:noProof/>
        </w:rPr>
        <w:fldChar w:fldCharType="separate"/>
      </w:r>
      <w:r w:rsidR="002B60F5">
        <w:rPr>
          <w:noProof/>
        </w:rPr>
        <w:t>3</w:t>
      </w:r>
      <w:r w:rsidR="00960007">
        <w:rPr>
          <w:noProof/>
        </w:rPr>
        <w:fldChar w:fldCharType="end"/>
      </w:r>
    </w:p>
    <w:p w:rsidR="00960007" w:rsidRDefault="00960007">
      <w:pPr>
        <w:pStyle w:val="Obsah1"/>
        <w:rPr>
          <w:rFonts w:cstheme="minorBidi"/>
          <w:noProof/>
          <w:sz w:val="22"/>
          <w:szCs w:val="22"/>
          <w:lang w:eastAsia="cs-CZ"/>
        </w:rPr>
      </w:pPr>
      <w:r w:rsidRPr="0046001D">
        <w:rPr>
          <w:rFonts w:eastAsiaTheme="minorHAnsi"/>
          <w:noProof/>
        </w:rPr>
        <w:t>2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Rakousko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_Toc411520430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4</w:t>
      </w:r>
      <w:r>
        <w:rPr>
          <w:noProof/>
        </w:rPr>
        <w:fldChar w:fldCharType="end"/>
      </w:r>
    </w:p>
    <w:p w:rsidR="00960007" w:rsidRDefault="00960007">
      <w:pPr>
        <w:pStyle w:val="Obsah2"/>
        <w:tabs>
          <w:tab w:val="left" w:pos="1100"/>
        </w:tabs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2.1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Rozsah činnosti BBG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_Toc411520431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4</w:t>
      </w:r>
      <w:r>
        <w:rPr>
          <w:noProof/>
        </w:rPr>
        <w:fldChar w:fldCharType="end"/>
      </w:r>
    </w:p>
    <w:p w:rsidR="00960007" w:rsidRDefault="00960007">
      <w:pPr>
        <w:pStyle w:val="Obsah2"/>
        <w:tabs>
          <w:tab w:val="left" w:pos="1100"/>
        </w:tabs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2.2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Způsob nakupování pomocí BBG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_Toc411520432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5</w:t>
      </w:r>
      <w:r>
        <w:rPr>
          <w:noProof/>
        </w:rPr>
        <w:fldChar w:fldCharType="end"/>
      </w:r>
    </w:p>
    <w:p w:rsidR="00960007" w:rsidRDefault="00960007">
      <w:pPr>
        <w:pStyle w:val="Obsah3"/>
        <w:tabs>
          <w:tab w:val="left" w:pos="1540"/>
        </w:tabs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2.2.1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Nákup na základě rámcových smluv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_Toc411520433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5</w:t>
      </w:r>
      <w:r>
        <w:rPr>
          <w:noProof/>
        </w:rPr>
        <w:fldChar w:fldCharType="end"/>
      </w:r>
    </w:p>
    <w:p w:rsidR="00960007" w:rsidRDefault="00960007">
      <w:pPr>
        <w:pStyle w:val="Obsah3"/>
        <w:tabs>
          <w:tab w:val="left" w:pos="1540"/>
        </w:tabs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2.2.2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Nákup pomocí dynamického nákupního systému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_Toc411520434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6</w:t>
      </w:r>
      <w:r>
        <w:rPr>
          <w:noProof/>
        </w:rPr>
        <w:fldChar w:fldCharType="end"/>
      </w:r>
    </w:p>
    <w:p w:rsidR="00960007" w:rsidRDefault="00960007">
      <w:pPr>
        <w:pStyle w:val="Obsah2"/>
        <w:tabs>
          <w:tab w:val="left" w:pos="1100"/>
        </w:tabs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2.3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Efektivita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_Toc411520435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6</w:t>
      </w:r>
      <w:r>
        <w:rPr>
          <w:noProof/>
        </w:rPr>
        <w:fldChar w:fldCharType="end"/>
      </w:r>
    </w:p>
    <w:p w:rsidR="00960007" w:rsidRDefault="00960007">
      <w:pPr>
        <w:pStyle w:val="Obsah1"/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3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Spojené království Velké Británie a Severního Irska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_Toc411520436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7</w:t>
      </w:r>
      <w:r>
        <w:rPr>
          <w:noProof/>
        </w:rPr>
        <w:fldChar w:fldCharType="end"/>
      </w:r>
    </w:p>
    <w:p w:rsidR="00960007" w:rsidRDefault="00960007">
      <w:pPr>
        <w:pStyle w:val="Obsah2"/>
        <w:tabs>
          <w:tab w:val="left" w:pos="1100"/>
        </w:tabs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3.1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Rozsah činnosti Crown Commercial Service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_Toc411520437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7</w:t>
      </w:r>
      <w:r>
        <w:rPr>
          <w:noProof/>
        </w:rPr>
        <w:fldChar w:fldCharType="end"/>
      </w:r>
    </w:p>
    <w:p w:rsidR="00960007" w:rsidRDefault="00960007">
      <w:pPr>
        <w:pStyle w:val="Obsah2"/>
        <w:tabs>
          <w:tab w:val="left" w:pos="1100"/>
        </w:tabs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3.2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Způsob nákupu pomocí Crown Commercial Service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_Toc411520438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8</w:t>
      </w:r>
      <w:r>
        <w:rPr>
          <w:noProof/>
        </w:rPr>
        <w:fldChar w:fldCharType="end"/>
      </w:r>
    </w:p>
    <w:p w:rsidR="00960007" w:rsidRDefault="00960007">
      <w:pPr>
        <w:pStyle w:val="Obsah3"/>
        <w:tabs>
          <w:tab w:val="left" w:pos="1540"/>
        </w:tabs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3.2.1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Self Service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_Toc411520439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8</w:t>
      </w:r>
      <w:r>
        <w:rPr>
          <w:noProof/>
        </w:rPr>
        <w:fldChar w:fldCharType="end"/>
      </w:r>
    </w:p>
    <w:p w:rsidR="00960007" w:rsidRDefault="00960007">
      <w:pPr>
        <w:pStyle w:val="Obsah3"/>
        <w:tabs>
          <w:tab w:val="left" w:pos="1540"/>
        </w:tabs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3.2.2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E-aukce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_Toc411520440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8</w:t>
      </w:r>
      <w:r>
        <w:rPr>
          <w:noProof/>
        </w:rPr>
        <w:fldChar w:fldCharType="end"/>
      </w:r>
    </w:p>
    <w:p w:rsidR="00960007" w:rsidRDefault="00960007">
      <w:pPr>
        <w:pStyle w:val="Obsah3"/>
        <w:tabs>
          <w:tab w:val="left" w:pos="1540"/>
        </w:tabs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3.2.3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Spot buying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_Toc411520441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8</w:t>
      </w:r>
      <w:r>
        <w:rPr>
          <w:noProof/>
        </w:rPr>
        <w:fldChar w:fldCharType="end"/>
      </w:r>
    </w:p>
    <w:p w:rsidR="00960007" w:rsidRDefault="00960007">
      <w:pPr>
        <w:pStyle w:val="Obsah1"/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4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Spolková republika Německo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_Toc411520442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9</w:t>
      </w:r>
      <w:r>
        <w:rPr>
          <w:noProof/>
        </w:rPr>
        <w:fldChar w:fldCharType="end"/>
      </w:r>
    </w:p>
    <w:p w:rsidR="00960007" w:rsidRDefault="00960007">
      <w:pPr>
        <w:pStyle w:val="Obsah2"/>
        <w:tabs>
          <w:tab w:val="left" w:pos="1100"/>
        </w:tabs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4.1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Rozsah činnosti Kaufhaus des Bundes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_Toc411520443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9</w:t>
      </w:r>
      <w:r>
        <w:rPr>
          <w:noProof/>
        </w:rPr>
        <w:fldChar w:fldCharType="end"/>
      </w:r>
    </w:p>
    <w:p w:rsidR="00960007" w:rsidRDefault="00960007">
      <w:pPr>
        <w:pStyle w:val="Obsah2"/>
        <w:tabs>
          <w:tab w:val="left" w:pos="1100"/>
        </w:tabs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4.2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Způsob nákupu v Kaufhaus des Bundes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_Toc411520444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10</w:t>
      </w:r>
      <w:r>
        <w:rPr>
          <w:noProof/>
        </w:rPr>
        <w:fldChar w:fldCharType="end"/>
      </w:r>
    </w:p>
    <w:p w:rsidR="00960007" w:rsidRDefault="00960007">
      <w:pPr>
        <w:pStyle w:val="Obsah3"/>
        <w:tabs>
          <w:tab w:val="left" w:pos="1540"/>
        </w:tabs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4.2.1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E-shop platformy Kaufhaus des Bundes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_Toc411520445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10</w:t>
      </w:r>
      <w:r>
        <w:rPr>
          <w:noProof/>
        </w:rPr>
        <w:fldChar w:fldCharType="end"/>
      </w:r>
    </w:p>
    <w:p w:rsidR="00960007" w:rsidRDefault="00960007">
      <w:pPr>
        <w:pStyle w:val="Obsah2"/>
        <w:tabs>
          <w:tab w:val="left" w:pos="1100"/>
        </w:tabs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4.3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Efektivita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_Toc411520446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10</w:t>
      </w:r>
      <w:r>
        <w:rPr>
          <w:noProof/>
        </w:rPr>
        <w:fldChar w:fldCharType="end"/>
      </w:r>
    </w:p>
    <w:p w:rsidR="00960007" w:rsidRDefault="00960007">
      <w:pPr>
        <w:pStyle w:val="Obsah1"/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5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Francie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_Toc411520447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11</w:t>
      </w:r>
      <w:r>
        <w:rPr>
          <w:noProof/>
        </w:rPr>
        <w:fldChar w:fldCharType="end"/>
      </w:r>
    </w:p>
    <w:p w:rsidR="00960007" w:rsidRDefault="00960007">
      <w:pPr>
        <w:pStyle w:val="Obsah2"/>
        <w:tabs>
          <w:tab w:val="left" w:pos="1100"/>
        </w:tabs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5.1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Service des achats de l’Etat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_Toc411520448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11</w:t>
      </w:r>
      <w:r>
        <w:rPr>
          <w:noProof/>
        </w:rPr>
        <w:fldChar w:fldCharType="end"/>
      </w:r>
    </w:p>
    <w:p w:rsidR="00960007" w:rsidRDefault="00960007">
      <w:pPr>
        <w:pStyle w:val="Obsah3"/>
        <w:tabs>
          <w:tab w:val="left" w:pos="1540"/>
        </w:tabs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5.1.1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Rozsah činnosti SAE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_Toc411520449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11</w:t>
      </w:r>
      <w:r>
        <w:rPr>
          <w:noProof/>
        </w:rPr>
        <w:fldChar w:fldCharType="end"/>
      </w:r>
    </w:p>
    <w:p w:rsidR="00960007" w:rsidRDefault="00960007">
      <w:pPr>
        <w:pStyle w:val="Obsah2"/>
        <w:tabs>
          <w:tab w:val="left" w:pos="1100"/>
        </w:tabs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5.2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Union des groupements d’achats publics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_Toc411520450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12</w:t>
      </w:r>
      <w:r>
        <w:rPr>
          <w:noProof/>
        </w:rPr>
        <w:fldChar w:fldCharType="end"/>
      </w:r>
    </w:p>
    <w:p w:rsidR="00960007" w:rsidRDefault="00960007">
      <w:pPr>
        <w:pStyle w:val="Obsah3"/>
        <w:tabs>
          <w:tab w:val="left" w:pos="1540"/>
        </w:tabs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5.2.1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Rozsah činnosti UGAP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_Toc411520451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12</w:t>
      </w:r>
      <w:r>
        <w:rPr>
          <w:noProof/>
        </w:rPr>
        <w:fldChar w:fldCharType="end"/>
      </w:r>
    </w:p>
    <w:p w:rsidR="00960007" w:rsidRDefault="00960007">
      <w:pPr>
        <w:pStyle w:val="Obsah1"/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6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Itálie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_Toc411520452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13</w:t>
      </w:r>
      <w:r>
        <w:rPr>
          <w:noProof/>
        </w:rPr>
        <w:fldChar w:fldCharType="end"/>
      </w:r>
    </w:p>
    <w:p w:rsidR="00960007" w:rsidRDefault="00960007">
      <w:pPr>
        <w:pStyle w:val="Obsah2"/>
        <w:tabs>
          <w:tab w:val="left" w:pos="1100"/>
        </w:tabs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6.1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Rozsah činnosti společnosti CONSIP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_Toc411520453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13</w:t>
      </w:r>
      <w:r>
        <w:rPr>
          <w:noProof/>
        </w:rPr>
        <w:fldChar w:fldCharType="end"/>
      </w:r>
    </w:p>
    <w:p w:rsidR="00960007" w:rsidRDefault="00960007">
      <w:pPr>
        <w:pStyle w:val="Obsah2"/>
        <w:tabs>
          <w:tab w:val="left" w:pos="1100"/>
        </w:tabs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6.2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Způsob nákupu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_Toc411520454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13</w:t>
      </w:r>
      <w:r>
        <w:rPr>
          <w:noProof/>
        </w:rPr>
        <w:fldChar w:fldCharType="end"/>
      </w:r>
    </w:p>
    <w:p w:rsidR="00960007" w:rsidRDefault="00960007">
      <w:pPr>
        <w:pStyle w:val="Obsah1"/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7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Zdroje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_Toc411520455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15</w:t>
      </w:r>
      <w:r>
        <w:rPr>
          <w:noProof/>
        </w:rPr>
        <w:fldChar w:fldCharType="end"/>
      </w:r>
    </w:p>
    <w:p w:rsidR="00960007" w:rsidRDefault="00960007">
      <w:pPr>
        <w:pStyle w:val="Obsah2"/>
        <w:tabs>
          <w:tab w:val="left" w:pos="1100"/>
        </w:tabs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7.1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Rakousko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_Toc411520456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15</w:t>
      </w:r>
      <w:r>
        <w:rPr>
          <w:noProof/>
        </w:rPr>
        <w:fldChar w:fldCharType="end"/>
      </w:r>
    </w:p>
    <w:p w:rsidR="00960007" w:rsidRDefault="00960007">
      <w:pPr>
        <w:pStyle w:val="Obsah2"/>
        <w:tabs>
          <w:tab w:val="left" w:pos="1100"/>
        </w:tabs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7.2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Spojené království Velké Británie a Severního Irska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_Toc411520457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15</w:t>
      </w:r>
      <w:r>
        <w:rPr>
          <w:noProof/>
        </w:rPr>
        <w:fldChar w:fldCharType="end"/>
      </w:r>
    </w:p>
    <w:p w:rsidR="00960007" w:rsidRDefault="00960007">
      <w:pPr>
        <w:pStyle w:val="Obsah2"/>
        <w:tabs>
          <w:tab w:val="left" w:pos="1100"/>
        </w:tabs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7.3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Spolková republika Německo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_Toc411520458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15</w:t>
      </w:r>
      <w:r>
        <w:rPr>
          <w:noProof/>
        </w:rPr>
        <w:fldChar w:fldCharType="end"/>
      </w:r>
    </w:p>
    <w:p w:rsidR="00960007" w:rsidRDefault="00960007">
      <w:pPr>
        <w:pStyle w:val="Obsah2"/>
        <w:tabs>
          <w:tab w:val="left" w:pos="1100"/>
        </w:tabs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7.4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Francie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_Toc411520459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16</w:t>
      </w:r>
      <w:r>
        <w:rPr>
          <w:noProof/>
        </w:rPr>
        <w:fldChar w:fldCharType="end"/>
      </w:r>
    </w:p>
    <w:p w:rsidR="00960007" w:rsidRDefault="00960007">
      <w:pPr>
        <w:pStyle w:val="Obsah2"/>
        <w:tabs>
          <w:tab w:val="left" w:pos="1100"/>
        </w:tabs>
        <w:rPr>
          <w:rFonts w:cstheme="minorBidi"/>
          <w:noProof/>
          <w:sz w:val="22"/>
          <w:szCs w:val="22"/>
          <w:lang w:eastAsia="cs-CZ"/>
        </w:rPr>
      </w:pPr>
      <w:r>
        <w:rPr>
          <w:noProof/>
        </w:rPr>
        <w:t>7.5</w:t>
      </w:r>
      <w:r>
        <w:rPr>
          <w:rFonts w:cstheme="minorBidi"/>
          <w:noProof/>
          <w:sz w:val="22"/>
          <w:szCs w:val="22"/>
          <w:lang w:eastAsia="cs-CZ"/>
        </w:rPr>
        <w:tab/>
      </w:r>
      <w:r>
        <w:rPr>
          <w:noProof/>
        </w:rPr>
        <w:t>Itálie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_Toc411520460 \h </w:instrText>
      </w:r>
      <w:r>
        <w:rPr>
          <w:noProof/>
        </w:rPr>
      </w:r>
      <w:r>
        <w:rPr>
          <w:noProof/>
        </w:rPr>
        <w:fldChar w:fldCharType="separate"/>
      </w:r>
      <w:r w:rsidR="002B60F5">
        <w:rPr>
          <w:noProof/>
        </w:rPr>
        <w:t>16</w:t>
      </w:r>
      <w:r>
        <w:rPr>
          <w:noProof/>
        </w:rPr>
        <w:fldChar w:fldCharType="end"/>
      </w:r>
    </w:p>
    <w:p w:rsidR="00806AEF" w:rsidRPr="00717D7F" w:rsidRDefault="004C31CD" w:rsidP="00817955">
      <w:r>
        <w:fldChar w:fldCharType="end"/>
      </w:r>
    </w:p>
    <w:p w:rsidR="002D2F61" w:rsidRDefault="002D2F61" w:rsidP="00817955">
      <w:pPr>
        <w:rPr>
          <w:rFonts w:eastAsia="Times New Roman"/>
        </w:rPr>
      </w:pPr>
    </w:p>
    <w:p w:rsidR="002D2F61" w:rsidRPr="002D2F61" w:rsidRDefault="002D2F61" w:rsidP="00817955">
      <w:pPr>
        <w:rPr>
          <w:rFonts w:eastAsia="Times New Roman"/>
        </w:rPr>
        <w:sectPr w:rsidR="002D2F61" w:rsidRPr="002D2F61" w:rsidSect="002D2F61">
          <w:footerReference w:type="default" r:id="rId10"/>
          <w:pgSz w:w="11906" w:h="16838" w:code="9"/>
          <w:pgMar w:top="1418" w:right="1418" w:bottom="1418" w:left="1418" w:header="851" w:footer="387" w:gutter="0"/>
          <w:cols w:space="708"/>
          <w:docGrid w:linePitch="360"/>
        </w:sectPr>
      </w:pPr>
    </w:p>
    <w:p w:rsidR="00806AEF" w:rsidRDefault="00806AEF" w:rsidP="00817955">
      <w:pPr>
        <w:pStyle w:val="Nadpis1"/>
      </w:pPr>
      <w:bookmarkStart w:id="2" w:name="_Toc339437032"/>
      <w:bookmarkStart w:id="3" w:name="_Toc339643827"/>
      <w:bookmarkStart w:id="4" w:name="_Toc340564904"/>
      <w:bookmarkStart w:id="5" w:name="_Toc410401060"/>
      <w:bookmarkStart w:id="6" w:name="_Toc411520429"/>
      <w:r w:rsidRPr="00466C97">
        <w:lastRenderedPageBreak/>
        <w:t>Shrnutí</w:t>
      </w:r>
      <w:bookmarkEnd w:id="2"/>
      <w:bookmarkEnd w:id="3"/>
      <w:bookmarkEnd w:id="4"/>
      <w:bookmarkEnd w:id="5"/>
      <w:bookmarkEnd w:id="6"/>
    </w:p>
    <w:p w:rsidR="003E1762" w:rsidRDefault="003E1762" w:rsidP="003E1762">
      <w:pPr>
        <w:rPr>
          <w:lang w:eastAsia="cs-CZ"/>
        </w:rPr>
      </w:pPr>
      <w:bookmarkStart w:id="7" w:name="_Toc339437034"/>
      <w:r>
        <w:rPr>
          <w:lang w:eastAsia="cs-CZ"/>
        </w:rPr>
        <w:t xml:space="preserve">Analýza dobré praxe ve vybraných evropských zemích byla zpracována jako jeden z podkladů pro </w:t>
      </w:r>
      <w:r w:rsidR="00EB773B">
        <w:rPr>
          <w:lang w:eastAsia="cs-CZ"/>
        </w:rPr>
        <w:t>identifikaci komodit vhodných k zahrnutí do centrálního nákupu</w:t>
      </w:r>
      <w:r w:rsidR="006B7D0F">
        <w:rPr>
          <w:lang w:eastAsia="cs-CZ"/>
        </w:rPr>
        <w:t xml:space="preserve"> státu</w:t>
      </w:r>
      <w:r w:rsidR="00EB773B">
        <w:rPr>
          <w:lang w:eastAsia="cs-CZ"/>
        </w:rPr>
        <w:t xml:space="preserve">. </w:t>
      </w:r>
      <w:r>
        <w:rPr>
          <w:lang w:eastAsia="cs-CZ"/>
        </w:rPr>
        <w:t xml:space="preserve"> </w:t>
      </w:r>
    </w:p>
    <w:p w:rsidR="003E1762" w:rsidRDefault="00EB773B" w:rsidP="003E1762">
      <w:pPr>
        <w:rPr>
          <w:lang w:eastAsia="cs-CZ"/>
        </w:rPr>
      </w:pPr>
      <w:r>
        <w:rPr>
          <w:lang w:eastAsia="cs-CZ"/>
        </w:rPr>
        <w:t xml:space="preserve">Zahraniční praxe v oblasti centrálního nákupu byla </w:t>
      </w:r>
      <w:r w:rsidR="003E1762">
        <w:rPr>
          <w:lang w:eastAsia="cs-CZ"/>
        </w:rPr>
        <w:t>analyzována v pěti zemích Evropské unie: Rakousku, Velké Británii, Německu,</w:t>
      </w:r>
      <w:r w:rsidR="003E1762" w:rsidRPr="00672B11">
        <w:rPr>
          <w:lang w:eastAsia="cs-CZ"/>
        </w:rPr>
        <w:t xml:space="preserve"> </w:t>
      </w:r>
      <w:r w:rsidR="003E1762">
        <w:rPr>
          <w:lang w:eastAsia="cs-CZ"/>
        </w:rPr>
        <w:t>Francii</w:t>
      </w:r>
      <w:r w:rsidR="003E1762" w:rsidRPr="00672B11">
        <w:rPr>
          <w:lang w:eastAsia="cs-CZ"/>
        </w:rPr>
        <w:t xml:space="preserve"> </w:t>
      </w:r>
      <w:r w:rsidR="003E1762">
        <w:rPr>
          <w:lang w:eastAsia="cs-CZ"/>
        </w:rPr>
        <w:t>a Itálii. Ve všech těchto zemích centrální nákup státu probíhá řadu let, dosahované úspory se pohybují v řádu mezi 15-25</w:t>
      </w:r>
      <w:r w:rsidR="006B7D0F">
        <w:rPr>
          <w:lang w:eastAsia="cs-CZ"/>
        </w:rPr>
        <w:t> </w:t>
      </w:r>
      <w:r w:rsidR="003E1762">
        <w:rPr>
          <w:lang w:eastAsia="cs-CZ"/>
        </w:rPr>
        <w:t xml:space="preserve">%. </w:t>
      </w:r>
      <w:r w:rsidR="003E1762" w:rsidRPr="006B62C3">
        <w:rPr>
          <w:b/>
          <w:lang w:eastAsia="cs-CZ"/>
        </w:rPr>
        <w:t>Mezi komodity zařazené do centrálního nákupu patří v analyzovaných zemích zejména:</w:t>
      </w:r>
    </w:p>
    <w:p w:rsidR="003E1762" w:rsidRDefault="003E1762" w:rsidP="003E1762">
      <w:pPr>
        <w:pStyle w:val="Odstavecseseznamem"/>
        <w:numPr>
          <w:ilvl w:val="0"/>
          <w:numId w:val="30"/>
        </w:numPr>
        <w:spacing w:before="60" w:after="60" w:line="276" w:lineRule="auto"/>
        <w:ind w:left="714" w:hanging="357"/>
        <w:rPr>
          <w:lang w:eastAsia="cs-CZ"/>
        </w:rPr>
      </w:pPr>
      <w:r>
        <w:rPr>
          <w:lang w:eastAsia="cs-CZ"/>
        </w:rPr>
        <w:t>Elektřina, zemní plyn, teplo a pohonné hmoty</w:t>
      </w:r>
      <w:r w:rsidR="006B7D0F">
        <w:rPr>
          <w:lang w:eastAsia="cs-CZ"/>
        </w:rPr>
        <w:t>;</w:t>
      </w:r>
    </w:p>
    <w:p w:rsidR="003E1762" w:rsidRDefault="003E1762" w:rsidP="003E1762">
      <w:pPr>
        <w:pStyle w:val="Odstavecseseznamem"/>
        <w:numPr>
          <w:ilvl w:val="0"/>
          <w:numId w:val="30"/>
        </w:numPr>
        <w:spacing w:before="60" w:after="60" w:line="276" w:lineRule="auto"/>
        <w:ind w:left="714" w:hanging="357"/>
        <w:rPr>
          <w:lang w:eastAsia="cs-CZ"/>
        </w:rPr>
      </w:pPr>
      <w:r>
        <w:rPr>
          <w:lang w:eastAsia="cs-CZ"/>
        </w:rPr>
        <w:t>Telekomunikace (pošta, mobilní, pevné a datové služby)</w:t>
      </w:r>
      <w:r w:rsidR="006B7D0F">
        <w:rPr>
          <w:lang w:eastAsia="cs-CZ"/>
        </w:rPr>
        <w:t>;</w:t>
      </w:r>
    </w:p>
    <w:p w:rsidR="003E1762" w:rsidRDefault="003E1762" w:rsidP="003E1762">
      <w:pPr>
        <w:pStyle w:val="Odstavecseseznamem"/>
        <w:numPr>
          <w:ilvl w:val="0"/>
          <w:numId w:val="30"/>
        </w:numPr>
        <w:spacing w:before="60" w:after="60" w:line="276" w:lineRule="auto"/>
        <w:ind w:left="714" w:hanging="357"/>
        <w:rPr>
          <w:lang w:eastAsia="cs-CZ"/>
        </w:rPr>
      </w:pPr>
      <w:r>
        <w:rPr>
          <w:lang w:eastAsia="cs-CZ"/>
        </w:rPr>
        <w:t>Úklid budov, ochrana budov a majetku</w:t>
      </w:r>
      <w:r w:rsidR="006B7D0F">
        <w:rPr>
          <w:lang w:eastAsia="cs-CZ"/>
        </w:rPr>
        <w:t>;</w:t>
      </w:r>
    </w:p>
    <w:p w:rsidR="003E1762" w:rsidRDefault="003E1762" w:rsidP="003E1762">
      <w:pPr>
        <w:pStyle w:val="Odstavecseseznamem"/>
        <w:numPr>
          <w:ilvl w:val="0"/>
          <w:numId w:val="30"/>
        </w:numPr>
        <w:spacing w:before="60" w:after="60" w:line="276" w:lineRule="auto"/>
        <w:ind w:left="714" w:hanging="357"/>
        <w:rPr>
          <w:lang w:eastAsia="cs-CZ"/>
        </w:rPr>
      </w:pPr>
      <w:r>
        <w:rPr>
          <w:lang w:eastAsia="cs-CZ"/>
        </w:rPr>
        <w:t>Vozový park (vozidla, údržba, pronájem)</w:t>
      </w:r>
      <w:r w:rsidR="006B7D0F">
        <w:rPr>
          <w:lang w:eastAsia="cs-CZ"/>
        </w:rPr>
        <w:t>;</w:t>
      </w:r>
    </w:p>
    <w:p w:rsidR="003E1762" w:rsidRDefault="003E1762" w:rsidP="003E1762">
      <w:pPr>
        <w:pStyle w:val="Odstavecseseznamem"/>
        <w:numPr>
          <w:ilvl w:val="0"/>
          <w:numId w:val="30"/>
        </w:numPr>
        <w:spacing w:before="60" w:after="60" w:line="276" w:lineRule="auto"/>
        <w:ind w:left="714" w:hanging="357"/>
        <w:rPr>
          <w:lang w:eastAsia="cs-CZ"/>
        </w:rPr>
      </w:pPr>
      <w:r>
        <w:rPr>
          <w:lang w:eastAsia="cs-CZ"/>
        </w:rPr>
        <w:t>Mobilita (letenky, ubytování atd.)</w:t>
      </w:r>
      <w:r w:rsidR="006B7D0F">
        <w:rPr>
          <w:lang w:eastAsia="cs-CZ"/>
        </w:rPr>
        <w:t>;</w:t>
      </w:r>
    </w:p>
    <w:p w:rsidR="003E1762" w:rsidRDefault="003E1762" w:rsidP="003E1762">
      <w:pPr>
        <w:pStyle w:val="Odstavecseseznamem"/>
        <w:numPr>
          <w:ilvl w:val="0"/>
          <w:numId w:val="30"/>
        </w:numPr>
        <w:spacing w:before="60" w:after="60" w:line="276" w:lineRule="auto"/>
        <w:ind w:left="714" w:hanging="357"/>
        <w:rPr>
          <w:lang w:eastAsia="cs-CZ"/>
        </w:rPr>
      </w:pPr>
      <w:r>
        <w:rPr>
          <w:lang w:eastAsia="cs-CZ"/>
        </w:rPr>
        <w:t>Kancelářské vybavení (kancelářské potřeby, kancelářská technika)</w:t>
      </w:r>
      <w:r w:rsidR="006B7D0F">
        <w:rPr>
          <w:lang w:eastAsia="cs-CZ"/>
        </w:rPr>
        <w:t>;</w:t>
      </w:r>
    </w:p>
    <w:p w:rsidR="003E1762" w:rsidRDefault="003E1762" w:rsidP="003E1762">
      <w:pPr>
        <w:pStyle w:val="Odstavecseseznamem"/>
        <w:numPr>
          <w:ilvl w:val="0"/>
          <w:numId w:val="30"/>
        </w:numPr>
        <w:spacing w:before="60" w:after="60" w:line="276" w:lineRule="auto"/>
        <w:ind w:left="714" w:hanging="357"/>
        <w:rPr>
          <w:lang w:eastAsia="cs-CZ"/>
        </w:rPr>
      </w:pPr>
      <w:r>
        <w:rPr>
          <w:lang w:eastAsia="cs-CZ"/>
        </w:rPr>
        <w:t>Nábytek</w:t>
      </w:r>
      <w:r w:rsidR="006B7D0F">
        <w:rPr>
          <w:lang w:eastAsia="cs-CZ"/>
        </w:rPr>
        <w:t>;</w:t>
      </w:r>
    </w:p>
    <w:p w:rsidR="003E1762" w:rsidRDefault="003E1762" w:rsidP="003E1762">
      <w:pPr>
        <w:pStyle w:val="Odstavecseseznamem"/>
        <w:numPr>
          <w:ilvl w:val="0"/>
          <w:numId w:val="30"/>
        </w:numPr>
        <w:spacing w:before="60" w:after="60" w:line="276" w:lineRule="auto"/>
        <w:ind w:left="714" w:hanging="357"/>
        <w:rPr>
          <w:lang w:eastAsia="cs-CZ"/>
        </w:rPr>
      </w:pPr>
      <w:r>
        <w:rPr>
          <w:lang w:eastAsia="cs-CZ"/>
        </w:rPr>
        <w:t>Tisk (noviny, časopisy, knihy)</w:t>
      </w:r>
      <w:r w:rsidR="006B7D0F">
        <w:rPr>
          <w:lang w:eastAsia="cs-CZ"/>
        </w:rPr>
        <w:t>;</w:t>
      </w:r>
    </w:p>
    <w:p w:rsidR="003E1762" w:rsidRDefault="003E1762" w:rsidP="003E1762">
      <w:pPr>
        <w:pStyle w:val="Odstavecseseznamem"/>
        <w:numPr>
          <w:ilvl w:val="0"/>
          <w:numId w:val="30"/>
        </w:numPr>
        <w:spacing w:before="60" w:after="60" w:line="276" w:lineRule="auto"/>
        <w:ind w:left="714" w:hanging="357"/>
        <w:rPr>
          <w:lang w:eastAsia="cs-CZ"/>
        </w:rPr>
      </w:pPr>
      <w:r>
        <w:rPr>
          <w:lang w:eastAsia="cs-CZ"/>
        </w:rPr>
        <w:t>Potraviny</w:t>
      </w:r>
      <w:r w:rsidR="006B7D0F">
        <w:rPr>
          <w:lang w:eastAsia="cs-CZ"/>
        </w:rPr>
        <w:t>;</w:t>
      </w:r>
    </w:p>
    <w:p w:rsidR="003E1762" w:rsidRDefault="003E1762" w:rsidP="003E1762">
      <w:pPr>
        <w:pStyle w:val="Odstavecseseznamem"/>
        <w:numPr>
          <w:ilvl w:val="0"/>
          <w:numId w:val="30"/>
        </w:numPr>
        <w:spacing w:before="60" w:after="60" w:line="276" w:lineRule="auto"/>
        <w:ind w:left="714" w:hanging="357"/>
        <w:rPr>
          <w:lang w:eastAsia="cs-CZ"/>
        </w:rPr>
      </w:pPr>
      <w:r>
        <w:rPr>
          <w:lang w:eastAsia="cs-CZ"/>
        </w:rPr>
        <w:t>Pojištění</w:t>
      </w:r>
      <w:r w:rsidR="006B7D0F">
        <w:rPr>
          <w:lang w:eastAsia="cs-CZ"/>
        </w:rPr>
        <w:t>.</w:t>
      </w:r>
    </w:p>
    <w:p w:rsidR="003E1762" w:rsidRDefault="003E1762" w:rsidP="003E1762">
      <w:pPr>
        <w:keepNext/>
        <w:rPr>
          <w:lang w:eastAsia="cs-CZ"/>
        </w:rPr>
      </w:pPr>
      <w:r>
        <w:rPr>
          <w:lang w:eastAsia="cs-CZ"/>
        </w:rPr>
        <w:t>V některých výše uvedených zemích jsou centrálně nakupovány i služby v oblasti komunikace (reklama, PR poradenství), projektového managementu, pojištění a finanční služby či další odborné služby (poradenství, krátkodobé zaměstnávání odborných pracovníků, právní služby).</w:t>
      </w:r>
    </w:p>
    <w:p w:rsidR="003E1762" w:rsidRDefault="003E1762" w:rsidP="003E1762">
      <w:pPr>
        <w:keepNext/>
        <w:rPr>
          <w:lang w:eastAsia="cs-CZ"/>
        </w:rPr>
      </w:pPr>
      <w:r>
        <w:rPr>
          <w:lang w:eastAsia="cs-CZ"/>
        </w:rPr>
        <w:t xml:space="preserve">Nákup probíhá zpravidla formou </w:t>
      </w:r>
      <w:r w:rsidRPr="006B62C3">
        <w:rPr>
          <w:b/>
          <w:lang w:eastAsia="cs-CZ"/>
        </w:rPr>
        <w:t>uzavření centrálních rámcových smluv, na základě kterých si již objednávky zajišťují samy jednotlivé organizace svým jménem a na svůj účet.</w:t>
      </w:r>
      <w:r>
        <w:rPr>
          <w:lang w:eastAsia="cs-CZ"/>
        </w:rPr>
        <w:t xml:space="preserve"> Ve značné míře jsou pro realizaci centrálního nákupu využívány elektronické nástroje (dynamické nákupní systémy, elektronické katalogy). Tím dochází ke snižování administrativní zátěže centrálního zadavatele a zejména k zajištění potřebné míry operativnosti a časové flexibility nákupu, která by jinak při takovém rozsahu zúčastněných subjektů a objemu realizovaných dodávek nebyla možná.</w:t>
      </w:r>
    </w:p>
    <w:p w:rsidR="008B7F2A" w:rsidRDefault="008B7F2A" w:rsidP="00817955">
      <w:pPr>
        <w:rPr>
          <w:rFonts w:eastAsia="Times"/>
          <w:lang w:eastAsia="cs-CZ"/>
        </w:rPr>
      </w:pPr>
    </w:p>
    <w:p w:rsidR="008B7F2A" w:rsidRDefault="008B7F2A" w:rsidP="00817955">
      <w:pPr>
        <w:rPr>
          <w:rFonts w:ascii="Segoe UI Semibold" w:eastAsiaTheme="minorHAnsi" w:hAnsi="Segoe UI Semibold" w:cs="Arial"/>
          <w:color w:val="093D93" w:themeColor="accent1"/>
          <w:sz w:val="22"/>
          <w:szCs w:val="22"/>
          <w:lang w:eastAsia="cs-CZ"/>
        </w:rPr>
      </w:pPr>
      <w:r>
        <w:rPr>
          <w:rFonts w:eastAsiaTheme="minorHAnsi"/>
        </w:rPr>
        <w:br w:type="page"/>
      </w:r>
    </w:p>
    <w:p w:rsidR="00806AEF" w:rsidRPr="00DF10F7" w:rsidRDefault="005433DF" w:rsidP="00817955">
      <w:pPr>
        <w:pStyle w:val="Nadpis1"/>
        <w:rPr>
          <w:rFonts w:eastAsiaTheme="minorHAnsi"/>
        </w:rPr>
      </w:pPr>
      <w:bookmarkStart w:id="8" w:name="_Toc401229429"/>
      <w:bookmarkStart w:id="9" w:name="_Toc402536860"/>
      <w:bookmarkStart w:id="10" w:name="_Toc401683608"/>
      <w:bookmarkStart w:id="11" w:name="_Toc407612384"/>
      <w:bookmarkStart w:id="12" w:name="_Toc411520430"/>
      <w:r w:rsidRPr="00817955">
        <w:lastRenderedPageBreak/>
        <w:t>Rakousko</w:t>
      </w:r>
      <w:bookmarkEnd w:id="8"/>
      <w:bookmarkEnd w:id="9"/>
      <w:bookmarkEnd w:id="10"/>
      <w:bookmarkEnd w:id="11"/>
      <w:bookmarkEnd w:id="12"/>
    </w:p>
    <w:p w:rsidR="005433DF" w:rsidRDefault="00B5133C" w:rsidP="00817955">
      <w:r>
        <w:t>Centrální nákup v Rakousku zajišťuje</w:t>
      </w:r>
      <w:r w:rsidR="005433DF">
        <w:t xml:space="preserve"> společnost </w:t>
      </w:r>
      <w:proofErr w:type="spellStart"/>
      <w:r w:rsidR="005433DF" w:rsidRPr="00C26520">
        <w:rPr>
          <w:i/>
        </w:rPr>
        <w:t>Bundesbeschaffung</w:t>
      </w:r>
      <w:proofErr w:type="spellEnd"/>
      <w:r w:rsidR="005433DF" w:rsidRPr="00C26520">
        <w:rPr>
          <w:i/>
        </w:rPr>
        <w:t xml:space="preserve"> </w:t>
      </w:r>
      <w:proofErr w:type="spellStart"/>
      <w:r w:rsidR="005433DF" w:rsidRPr="00C26520">
        <w:rPr>
          <w:i/>
        </w:rPr>
        <w:t>GmbH</w:t>
      </w:r>
      <w:proofErr w:type="spellEnd"/>
      <w:r w:rsidR="005433DF">
        <w:t xml:space="preserve"> (dále </w:t>
      </w:r>
      <w:r w:rsidR="006B7D0F">
        <w:t xml:space="preserve">jen </w:t>
      </w:r>
      <w:r w:rsidR="005433DF">
        <w:t>BBG</w:t>
      </w:r>
      <w:r w:rsidR="00E163ED">
        <w:t>).</w:t>
      </w:r>
      <w:r w:rsidR="005433DF">
        <w:t xml:space="preserve"> BBG je neziskovou společností s ručením omezeným</w:t>
      </w:r>
      <w:r w:rsidR="00BC4CD5">
        <w:t xml:space="preserve"> zřízenou ze zákona</w:t>
      </w:r>
      <w:r w:rsidR="00BC4CD5">
        <w:rPr>
          <w:rStyle w:val="Znakapoznpodarou"/>
        </w:rPr>
        <w:footnoteReference w:id="1"/>
      </w:r>
      <w:r w:rsidR="005433DF">
        <w:t xml:space="preserve"> </w:t>
      </w:r>
      <w:r w:rsidR="00C26520">
        <w:t>a</w:t>
      </w:r>
      <w:r w:rsidR="005433DF">
        <w:t xml:space="preserve"> její činnost je regulována obchodním zákoníkem. Řízení společnosti (vč. podpisového práva) </w:t>
      </w:r>
      <w:r>
        <w:t>zajišťují</w:t>
      </w:r>
      <w:r w:rsidR="005433DF">
        <w:t xml:space="preserve"> dva ředitelé (</w:t>
      </w:r>
      <w:r>
        <w:t xml:space="preserve">tzv. </w:t>
      </w:r>
      <w:proofErr w:type="spellStart"/>
      <w:r w:rsidR="005433DF" w:rsidRPr="00023562">
        <w:rPr>
          <w:i/>
        </w:rPr>
        <w:t>Geschäftsführer</w:t>
      </w:r>
      <w:proofErr w:type="spellEnd"/>
      <w:r w:rsidR="005433DF">
        <w:t xml:space="preserve">), kteří jsou jmenování ministrem financí na dobu maximálně </w:t>
      </w:r>
      <w:r w:rsidR="00BC4CD5">
        <w:t xml:space="preserve">pět </w:t>
      </w:r>
      <w:r w:rsidR="005433DF">
        <w:t>let. Dohled nad BBG vykonává čtyřčlenná dozorčí rada, jejíž členy jmenuje ministr financí. Členov</w:t>
      </w:r>
      <w:r w:rsidR="00E470FC">
        <w:t xml:space="preserve">é rady jsou mu také odpovědní. </w:t>
      </w:r>
      <w:r w:rsidR="005433DF">
        <w:t xml:space="preserve">Kontrolu činnosti společnosti (vč. účetnictví) provádí </w:t>
      </w:r>
      <w:r>
        <w:t xml:space="preserve">rakouský Účetní dvůr. </w:t>
      </w:r>
      <w:r w:rsidR="00E163ED">
        <w:t>V současné době je v BBG zaměstnáno cca 85 osob.</w:t>
      </w:r>
    </w:p>
    <w:p w:rsidR="005433DF" w:rsidRDefault="00B5133C" w:rsidP="00817955">
      <w:r>
        <w:t>Společnost</w:t>
      </w:r>
      <w:r w:rsidR="005433DF">
        <w:t xml:space="preserve"> BBG </w:t>
      </w:r>
      <w:r>
        <w:t xml:space="preserve">je rozdělena </w:t>
      </w:r>
      <w:r w:rsidR="005433DF">
        <w:t>na dvě části</w:t>
      </w:r>
      <w:r>
        <w:t>. Každou z částí řídí</w:t>
      </w:r>
      <w:r w:rsidR="005433DF">
        <w:t xml:space="preserve"> jed</w:t>
      </w:r>
      <w:r>
        <w:t>en</w:t>
      </w:r>
      <w:r w:rsidR="005433DF">
        <w:t xml:space="preserve"> z ředitelů společnosti. </w:t>
      </w:r>
      <w:r>
        <w:t>Každá z částí je rozdělena</w:t>
      </w:r>
      <w:r w:rsidR="005433DF">
        <w:t xml:space="preserve"> na několik oddělení s vlastním vedoucím, která </w:t>
      </w:r>
      <w:r w:rsidR="00C26520">
        <w:t>zajišťují</w:t>
      </w:r>
      <w:r w:rsidR="005433DF">
        <w:t xml:space="preserve"> nákup konkrétních komodit</w:t>
      </w:r>
      <w:r w:rsidR="00E163ED">
        <w:rPr>
          <w:rStyle w:val="Znakapoznpodarou"/>
        </w:rPr>
        <w:footnoteReference w:id="2"/>
      </w:r>
      <w:r w:rsidR="005433DF">
        <w:t xml:space="preserve">. Kromě nákupních </w:t>
      </w:r>
      <w:r w:rsidR="00C26520">
        <w:t>útvarů</w:t>
      </w:r>
      <w:r w:rsidR="005433DF">
        <w:t xml:space="preserve"> </w:t>
      </w:r>
      <w:r w:rsidR="00075F98">
        <w:t>fungují v rámci BBG</w:t>
      </w:r>
      <w:r w:rsidR="00AE7264">
        <w:t xml:space="preserve"> také </w:t>
      </w:r>
      <w:r w:rsidR="005433DF">
        <w:t xml:space="preserve">oddělení </w:t>
      </w:r>
      <w:r w:rsidR="00AE7264">
        <w:t xml:space="preserve">zajišťující podpůrné služby (např. </w:t>
      </w:r>
      <w:r w:rsidR="005433DF">
        <w:t>právní služby, HR, ICT a controlling</w:t>
      </w:r>
      <w:r w:rsidR="00AE7264">
        <w:t>)</w:t>
      </w:r>
      <w:r w:rsidR="005433DF">
        <w:t xml:space="preserve">. </w:t>
      </w:r>
    </w:p>
    <w:p w:rsidR="005433DF" w:rsidRDefault="005433DF" w:rsidP="00817955">
      <w:pPr>
        <w:pStyle w:val="Nadpis2"/>
      </w:pPr>
      <w:bookmarkStart w:id="13" w:name="_Toc401229430"/>
      <w:bookmarkStart w:id="14" w:name="_Toc402536861"/>
      <w:bookmarkStart w:id="15" w:name="_Toc401683609"/>
      <w:bookmarkStart w:id="16" w:name="_Toc407612385"/>
      <w:bookmarkStart w:id="17" w:name="_Toc411520431"/>
      <w:r>
        <w:t xml:space="preserve">Rozsah </w:t>
      </w:r>
      <w:r w:rsidRPr="00817955">
        <w:t>činnosti</w:t>
      </w:r>
      <w:r>
        <w:t xml:space="preserve"> BBG</w:t>
      </w:r>
      <w:bookmarkEnd w:id="13"/>
      <w:bookmarkEnd w:id="14"/>
      <w:bookmarkEnd w:id="15"/>
      <w:bookmarkEnd w:id="16"/>
      <w:bookmarkEnd w:id="17"/>
    </w:p>
    <w:p w:rsidR="00AC3663" w:rsidRDefault="005433DF" w:rsidP="00817955">
      <w:r>
        <w:t xml:space="preserve">Nákup prostřednictvím BBG je </w:t>
      </w:r>
      <w:r w:rsidR="00AC3663">
        <w:t xml:space="preserve">s určitými výjimkami (viz níže) </w:t>
      </w:r>
      <w:r>
        <w:t>povinný pro všechny spolkové úřady a</w:t>
      </w:r>
      <w:r w:rsidR="00AC3663">
        <w:t> </w:t>
      </w:r>
      <w:r>
        <w:t>instituce (</w:t>
      </w:r>
      <w:r w:rsidR="003A74F3">
        <w:t xml:space="preserve">tzv. </w:t>
      </w:r>
      <w:proofErr w:type="spellStart"/>
      <w:r w:rsidRPr="00023562">
        <w:rPr>
          <w:i/>
        </w:rPr>
        <w:t>Bundesdienststellen</w:t>
      </w:r>
      <w:proofErr w:type="spellEnd"/>
      <w:r>
        <w:t>).</w:t>
      </w:r>
      <w:r w:rsidR="003A74F3">
        <w:t xml:space="preserve"> Mezi povinné organizace spadají veškeré úřady, agentury a</w:t>
      </w:r>
      <w:r w:rsidR="00AC3663">
        <w:t> </w:t>
      </w:r>
      <w:r w:rsidR="003A74F3">
        <w:t>organizace, které jsou zřizovány některým ze spolkových ministerstev. Přes BBG musí tedy nakupovat například finanční policie, úřad práce či dopravní inspektorát</w:t>
      </w:r>
      <w:r w:rsidR="003A74F3">
        <w:rPr>
          <w:rStyle w:val="Znakapoznpodarou"/>
        </w:rPr>
        <w:footnoteReference w:id="3"/>
      </w:r>
      <w:r w:rsidR="003A74F3">
        <w:t xml:space="preserve">. </w:t>
      </w:r>
    </w:p>
    <w:p w:rsidR="003A74F3" w:rsidRDefault="00AC3663" w:rsidP="00817955">
      <w:r>
        <w:t>Centrální nákup státu naopak není povinný institu</w:t>
      </w:r>
      <w:r w:rsidR="00E163ED">
        <w:t xml:space="preserve">ce, které jsou zákonem vyňaty ze </w:t>
      </w:r>
      <w:r>
        <w:t>správní působnosti</w:t>
      </w:r>
      <w:r w:rsidR="00E163ED">
        <w:t xml:space="preserve"> jednotlivých ministerstev</w:t>
      </w:r>
      <w:r>
        <w:t xml:space="preserve"> (např. univerzity, divadla, muzea, výzkumná střediska, nemocnice, zemské a</w:t>
      </w:r>
      <w:r w:rsidR="007161F2">
        <w:t> </w:t>
      </w:r>
      <w:r>
        <w:t>komunální úřady, státní agentury apod.). Tyto organizace se mohou k centrálnímu nákupu připojit dobrovolně, musejí však s BBG uzavřít smlouvu o využívání jejích služeb</w:t>
      </w:r>
      <w:r>
        <w:rPr>
          <w:rStyle w:val="Znakapoznpodarou"/>
        </w:rPr>
        <w:footnoteReference w:id="4"/>
      </w:r>
      <w:r>
        <w:t xml:space="preserve"> a zaplatit roční poplatek ve výši 180€ vč. DPH</w:t>
      </w:r>
      <w:r>
        <w:rPr>
          <w:rStyle w:val="Znakapoznpodarou"/>
        </w:rPr>
        <w:footnoteReference w:id="5"/>
      </w:r>
      <w:r>
        <w:t>.</w:t>
      </w:r>
    </w:p>
    <w:p w:rsidR="005433DF" w:rsidRDefault="005433DF" w:rsidP="00817955">
      <w:r>
        <w:t>Výjimky z </w:t>
      </w:r>
      <w:r w:rsidR="00CB7DB5">
        <w:t>povinného centrálního nákupu prostřednictvím BBG je možné</w:t>
      </w:r>
      <w:r>
        <w:t xml:space="preserve"> uplatnit </w:t>
      </w:r>
      <w:r w:rsidR="00CB7DB5">
        <w:t xml:space="preserve">pouze při splnění </w:t>
      </w:r>
      <w:r>
        <w:t xml:space="preserve">zákonem stanovených </w:t>
      </w:r>
      <w:r w:rsidR="00CB7DB5">
        <w:t>podmínek</w:t>
      </w:r>
      <w:r>
        <w:t xml:space="preserve">: </w:t>
      </w:r>
    </w:p>
    <w:p w:rsidR="005433DF" w:rsidRDefault="005433DF" w:rsidP="00817955">
      <w:pPr>
        <w:pStyle w:val="Odstavecseseznamem"/>
        <w:numPr>
          <w:ilvl w:val="0"/>
          <w:numId w:val="8"/>
        </w:numPr>
      </w:pPr>
      <w:r>
        <w:t>Zadavatelem je spolkový úřad působící v zahraničí;</w:t>
      </w:r>
    </w:p>
    <w:p w:rsidR="005433DF" w:rsidRDefault="005433DF" w:rsidP="00817955">
      <w:pPr>
        <w:pStyle w:val="Odstavecseseznamem"/>
        <w:numPr>
          <w:ilvl w:val="0"/>
          <w:numId w:val="8"/>
        </w:numPr>
      </w:pPr>
      <w:r>
        <w:t>Předmět nákupu se týká tajných nebo bezpečnostních záležitostí;</w:t>
      </w:r>
    </w:p>
    <w:p w:rsidR="005433DF" w:rsidRDefault="005433DF" w:rsidP="00817955">
      <w:pPr>
        <w:pStyle w:val="Odstavecseseznamem"/>
        <w:numPr>
          <w:ilvl w:val="0"/>
          <w:numId w:val="8"/>
        </w:numPr>
      </w:pPr>
      <w:r>
        <w:t>Nákup by nebylo možné uskutečnit pomocí BBG včas tak, aby nebylo ohroženo fungování úřadu („…</w:t>
      </w:r>
      <w:r w:rsidRPr="00B86C99">
        <w:t>při pokrytí bezprostředně nutného nákupu způsobených závažnými důvody, které byly způsobeny událostmi, na které neměl zadavatel vliv, nebo je nemohl předvídat</w:t>
      </w:r>
      <w:r>
        <w:t>…“)</w:t>
      </w:r>
      <w:r>
        <w:rPr>
          <w:rStyle w:val="Znakapoznpodarou"/>
        </w:rPr>
        <w:footnoteReference w:id="6"/>
      </w:r>
      <w:r>
        <w:t>;</w:t>
      </w:r>
    </w:p>
    <w:p w:rsidR="005433DF" w:rsidRDefault="005433DF" w:rsidP="00817955">
      <w:pPr>
        <w:pStyle w:val="Odstavecseseznamem"/>
        <w:numPr>
          <w:ilvl w:val="0"/>
          <w:numId w:val="8"/>
        </w:numPr>
      </w:pPr>
      <w:r>
        <w:t>Spolkový úřad si je schopen dané zboží obstarat sám levněji</w:t>
      </w:r>
      <w:r w:rsidR="000B5A8D">
        <w:t xml:space="preserve"> (§4 odst. 2 zákona o BBG)</w:t>
      </w:r>
      <w:r>
        <w:t>;</w:t>
      </w:r>
    </w:p>
    <w:p w:rsidR="005433DF" w:rsidRDefault="005433DF" w:rsidP="00817955">
      <w:pPr>
        <w:pStyle w:val="Odstavecseseznamem"/>
        <w:numPr>
          <w:ilvl w:val="0"/>
          <w:numId w:val="8"/>
        </w:numPr>
      </w:pPr>
      <w:r>
        <w:t>Plánovaný nákup je alespoň z 50 % financovaný soukromou osobou (nezáleží na tom, jestli právnickou nebo fyzickou).</w:t>
      </w:r>
    </w:p>
    <w:p w:rsidR="00CB7DB5" w:rsidRDefault="000B5A8D" w:rsidP="00817955">
      <w:r>
        <w:t>V minulosti</w:t>
      </w:r>
      <w:r w:rsidR="00CB7DB5">
        <w:t xml:space="preserve"> </w:t>
      </w:r>
      <w:r>
        <w:t>instituce často využívaly výjimku dle § 4</w:t>
      </w:r>
      <w:r w:rsidRPr="000B5A8D">
        <w:t xml:space="preserve"> </w:t>
      </w:r>
      <w:r>
        <w:t>odst. 2, na jejímž základě nebyly povinny se k centrálnímu nákupu</w:t>
      </w:r>
      <w:r w:rsidR="008D09B2">
        <w:t xml:space="preserve"> státu </w:t>
      </w:r>
      <w:r>
        <w:t xml:space="preserve">připojit, pokud si daný typ zboží zajistí samy levněji. </w:t>
      </w:r>
      <w:r w:rsidR="005C26D5">
        <w:t>V</w:t>
      </w:r>
      <w:r>
        <w:t> r</w:t>
      </w:r>
      <w:r w:rsidR="00AC26FF">
        <w:t>oce</w:t>
      </w:r>
      <w:r>
        <w:t xml:space="preserve"> 2009 </w:t>
      </w:r>
      <w:r w:rsidR="005C26D5">
        <w:t xml:space="preserve">byla </w:t>
      </w:r>
      <w:r>
        <w:t>pravidla pro up</w:t>
      </w:r>
      <w:r w:rsidR="005C26D5">
        <w:t>latnění této výjimky zpřísněna. Bylo ustanoveno, že výjimku dle § 4</w:t>
      </w:r>
      <w:r w:rsidR="005C26D5" w:rsidRPr="000B5A8D">
        <w:t xml:space="preserve"> </w:t>
      </w:r>
      <w:r w:rsidR="005C26D5">
        <w:t xml:space="preserve">odst. 2 nemohou </w:t>
      </w:r>
      <w:r w:rsidR="005C26D5">
        <w:lastRenderedPageBreak/>
        <w:t xml:space="preserve">uplatnit instituce, které již předem BBG </w:t>
      </w:r>
      <w:r w:rsidR="00CB7DB5">
        <w:t>nahlásil</w:t>
      </w:r>
      <w:r w:rsidR="005C26D5">
        <w:t>y</w:t>
      </w:r>
      <w:r w:rsidR="00CB7DB5">
        <w:t xml:space="preserve"> závaznou či nezávaznou poptávku po </w:t>
      </w:r>
      <w:r w:rsidR="005C26D5">
        <w:t>určitém množství zboží</w:t>
      </w:r>
      <w:r w:rsidR="003833E1">
        <w:t>.</w:t>
      </w:r>
    </w:p>
    <w:p w:rsidR="005433DF" w:rsidRDefault="008D09B2" w:rsidP="00817955">
      <w:r>
        <w:t>K</w:t>
      </w:r>
      <w:r w:rsidR="00A00489">
        <w:t>omodit</w:t>
      </w:r>
      <w:r>
        <w:t>y</w:t>
      </w:r>
      <w:r w:rsidR="00A00489">
        <w:t>, které mají být nakupovány prostřednictvím BBG, jsou stanoveny vyhláškou ministra financí</w:t>
      </w:r>
      <w:r w:rsidR="00BC4CD5">
        <w:rPr>
          <w:rStyle w:val="Znakapoznpodarou"/>
        </w:rPr>
        <w:footnoteReference w:id="7"/>
      </w:r>
      <w:r w:rsidR="00A00489">
        <w:t xml:space="preserve">. </w:t>
      </w:r>
      <w:r w:rsidR="005433DF">
        <w:t xml:space="preserve">Seznam </w:t>
      </w:r>
      <w:r w:rsidR="00A00489">
        <w:t xml:space="preserve">byl </w:t>
      </w:r>
      <w:r w:rsidR="005433DF">
        <w:t>vytvořen na základě analýzy zpracované BBG</w:t>
      </w:r>
      <w:r>
        <w:t xml:space="preserve"> </w:t>
      </w:r>
      <w:r w:rsidR="00A006D2">
        <w:t>s přihlédnutím</w:t>
      </w:r>
      <w:r w:rsidR="005433DF">
        <w:t xml:space="preserve"> k</w:t>
      </w:r>
      <w:r w:rsidR="00A00489">
        <w:t> </w:t>
      </w:r>
      <w:r w:rsidR="005433DF">
        <w:t>doporučením</w:t>
      </w:r>
      <w:r w:rsidR="00A00489">
        <w:t xml:space="preserve"> tzv.</w:t>
      </w:r>
      <w:r w:rsidR="005433DF">
        <w:t xml:space="preserve"> </w:t>
      </w:r>
      <w:proofErr w:type="spellStart"/>
      <w:r w:rsidR="005433DF" w:rsidRPr="00A82C1D">
        <w:rPr>
          <w:i/>
        </w:rPr>
        <w:t>Nutzerbeirat</w:t>
      </w:r>
      <w:proofErr w:type="spellEnd"/>
      <w:r w:rsidR="005433DF">
        <w:rPr>
          <w:i/>
        </w:rPr>
        <w:t xml:space="preserve"> </w:t>
      </w:r>
      <w:r w:rsidR="005433DF">
        <w:t xml:space="preserve">(volně přeložitelné jako „Poradní orgán </w:t>
      </w:r>
      <w:r w:rsidR="005433DF" w:rsidRPr="00AC6A26">
        <w:t>uživatelů</w:t>
      </w:r>
      <w:r w:rsidR="005433DF">
        <w:t>“)</w:t>
      </w:r>
      <w:r w:rsidR="00C70A5B">
        <w:rPr>
          <w:rStyle w:val="Znakapoznpodarou"/>
        </w:rPr>
        <w:footnoteReference w:id="8"/>
      </w:r>
      <w:r w:rsidR="005433DF">
        <w:t xml:space="preserve">. </w:t>
      </w:r>
      <w:r w:rsidR="00C70A5B">
        <w:t>Na základě výše uvedené vyhlášky ministra financí v</w:t>
      </w:r>
      <w:r>
        <w:t> </w:t>
      </w:r>
      <w:r w:rsidR="005433DF">
        <w:t xml:space="preserve">současné době BBG </w:t>
      </w:r>
      <w:r>
        <w:t>centrálně zabezpečuje</w:t>
      </w:r>
      <w:r w:rsidR="00C70A5B">
        <w:t xml:space="preserve"> nákup následujících komodit či služeb</w:t>
      </w:r>
      <w:r w:rsidR="005433DF">
        <w:t>:</w:t>
      </w:r>
    </w:p>
    <w:p w:rsidR="005433DF" w:rsidRDefault="005433DF" w:rsidP="00817955">
      <w:pPr>
        <w:pStyle w:val="Odstavecseseznamem"/>
        <w:numPr>
          <w:ilvl w:val="0"/>
          <w:numId w:val="10"/>
        </w:numPr>
      </w:pPr>
      <w:r>
        <w:t>Elektřina, zemní plyn, teplo a pohonné hmoty</w:t>
      </w:r>
      <w:r w:rsidR="00AC26FF">
        <w:t>;</w:t>
      </w:r>
    </w:p>
    <w:p w:rsidR="005433DF" w:rsidRDefault="005433DF" w:rsidP="00817955">
      <w:pPr>
        <w:pStyle w:val="Odstavecseseznamem"/>
        <w:numPr>
          <w:ilvl w:val="0"/>
          <w:numId w:val="10"/>
        </w:numPr>
      </w:pPr>
      <w:r>
        <w:t>Telekomunikace (pošta, mobilní, pevné a datové služby)</w:t>
      </w:r>
      <w:r w:rsidR="00AC26FF">
        <w:t>;</w:t>
      </w:r>
    </w:p>
    <w:p w:rsidR="005433DF" w:rsidRDefault="00C70A5B" w:rsidP="00817955">
      <w:pPr>
        <w:pStyle w:val="Odstavecseseznamem"/>
        <w:numPr>
          <w:ilvl w:val="0"/>
          <w:numId w:val="10"/>
        </w:numPr>
      </w:pPr>
      <w:r>
        <w:t xml:space="preserve">Úklid </w:t>
      </w:r>
      <w:r w:rsidR="005433DF">
        <w:t>budov</w:t>
      </w:r>
      <w:r w:rsidR="00AC26FF">
        <w:t>;</w:t>
      </w:r>
    </w:p>
    <w:p w:rsidR="005433DF" w:rsidRDefault="005433DF" w:rsidP="00817955">
      <w:pPr>
        <w:pStyle w:val="Odstavecseseznamem"/>
        <w:numPr>
          <w:ilvl w:val="0"/>
          <w:numId w:val="10"/>
        </w:numPr>
      </w:pPr>
      <w:r>
        <w:t>Vozový park (auta, údržba, služby spojené s přistavováním vozu)</w:t>
      </w:r>
      <w:r w:rsidR="00AC26FF">
        <w:t>;</w:t>
      </w:r>
    </w:p>
    <w:p w:rsidR="005433DF" w:rsidRDefault="005433DF" w:rsidP="00817955">
      <w:pPr>
        <w:pStyle w:val="Odstavecseseznamem"/>
        <w:numPr>
          <w:ilvl w:val="0"/>
          <w:numId w:val="10"/>
        </w:numPr>
      </w:pPr>
      <w:r>
        <w:t>Transport osob a zboží (letenky, hotely apod.)</w:t>
      </w:r>
      <w:r w:rsidR="00AC26FF">
        <w:t>;</w:t>
      </w:r>
    </w:p>
    <w:p w:rsidR="005433DF" w:rsidRDefault="005433DF" w:rsidP="00817955">
      <w:pPr>
        <w:pStyle w:val="Odstavecseseznamem"/>
        <w:numPr>
          <w:ilvl w:val="0"/>
          <w:numId w:val="10"/>
        </w:numPr>
      </w:pPr>
      <w:r>
        <w:t>IT technologie (hardware, software, služby spojené s provozem IT)</w:t>
      </w:r>
      <w:r w:rsidR="00AC26FF">
        <w:t>;</w:t>
      </w:r>
    </w:p>
    <w:p w:rsidR="005433DF" w:rsidRDefault="00AC26FF" w:rsidP="00817955">
      <w:pPr>
        <w:pStyle w:val="Odstavecseseznamem"/>
        <w:numPr>
          <w:ilvl w:val="0"/>
          <w:numId w:val="10"/>
        </w:numPr>
      </w:pPr>
      <w:r>
        <w:t>Kancelářské vybavení;</w:t>
      </w:r>
    </w:p>
    <w:p w:rsidR="005433DF" w:rsidRDefault="005433DF" w:rsidP="00817955">
      <w:pPr>
        <w:pStyle w:val="Odstavecseseznamem"/>
        <w:numPr>
          <w:ilvl w:val="0"/>
          <w:numId w:val="10"/>
        </w:numPr>
      </w:pPr>
      <w:r>
        <w:t>Nábytek</w:t>
      </w:r>
      <w:r w:rsidR="00AC26FF">
        <w:t>;</w:t>
      </w:r>
    </w:p>
    <w:p w:rsidR="005433DF" w:rsidRDefault="005433DF" w:rsidP="00817955">
      <w:pPr>
        <w:pStyle w:val="Odstavecseseznamem"/>
        <w:numPr>
          <w:ilvl w:val="0"/>
          <w:numId w:val="10"/>
        </w:numPr>
      </w:pPr>
      <w:r>
        <w:t>Tisk (noviny, časopisy, knihy)</w:t>
      </w:r>
      <w:r w:rsidR="00AC26FF">
        <w:t>;</w:t>
      </w:r>
    </w:p>
    <w:p w:rsidR="005433DF" w:rsidRDefault="005433DF" w:rsidP="00817955">
      <w:pPr>
        <w:pStyle w:val="Odstavecseseznamem"/>
        <w:numPr>
          <w:ilvl w:val="0"/>
          <w:numId w:val="10"/>
        </w:numPr>
      </w:pPr>
      <w:r>
        <w:t>Laboratorní vybavení</w:t>
      </w:r>
      <w:r w:rsidR="00AC26FF">
        <w:t>;</w:t>
      </w:r>
    </w:p>
    <w:p w:rsidR="005433DF" w:rsidRDefault="005433DF" w:rsidP="00817955">
      <w:pPr>
        <w:pStyle w:val="Odstavecseseznamem"/>
        <w:numPr>
          <w:ilvl w:val="0"/>
          <w:numId w:val="10"/>
        </w:numPr>
      </w:pPr>
      <w:r>
        <w:t>Lékařské pomůcky a vybavení nemocnic</w:t>
      </w:r>
      <w:r w:rsidR="00AC26FF">
        <w:t>;</w:t>
      </w:r>
    </w:p>
    <w:p w:rsidR="005433DF" w:rsidRDefault="005433DF" w:rsidP="00817955">
      <w:pPr>
        <w:pStyle w:val="Odstavecseseznamem"/>
        <w:numPr>
          <w:ilvl w:val="0"/>
          <w:numId w:val="10"/>
        </w:numPr>
      </w:pPr>
      <w:r>
        <w:t>Ochrana budov a majetku</w:t>
      </w:r>
      <w:r w:rsidR="00AC26FF">
        <w:t>;</w:t>
      </w:r>
    </w:p>
    <w:p w:rsidR="005433DF" w:rsidRDefault="005433DF" w:rsidP="00817955">
      <w:pPr>
        <w:pStyle w:val="Odstavecseseznamem"/>
        <w:numPr>
          <w:ilvl w:val="0"/>
          <w:numId w:val="10"/>
        </w:numPr>
      </w:pPr>
      <w:r>
        <w:t>Oblečení (vč. praní)</w:t>
      </w:r>
      <w:r w:rsidR="00AC26FF">
        <w:t>;</w:t>
      </w:r>
    </w:p>
    <w:p w:rsidR="005433DF" w:rsidRDefault="005433DF" w:rsidP="00817955">
      <w:pPr>
        <w:pStyle w:val="Odstavecseseznamem"/>
        <w:numPr>
          <w:ilvl w:val="0"/>
          <w:numId w:val="10"/>
        </w:numPr>
      </w:pPr>
      <w:r>
        <w:t>Potraviny</w:t>
      </w:r>
      <w:r w:rsidR="00AC26FF">
        <w:t>;</w:t>
      </w:r>
    </w:p>
    <w:p w:rsidR="005433DF" w:rsidRDefault="005433DF" w:rsidP="00817955">
      <w:pPr>
        <w:pStyle w:val="Odstavecseseznamem"/>
        <w:numPr>
          <w:ilvl w:val="0"/>
          <w:numId w:val="10"/>
        </w:numPr>
      </w:pPr>
      <w:r>
        <w:t>Pojištění</w:t>
      </w:r>
      <w:r w:rsidR="00AC26FF">
        <w:t>;</w:t>
      </w:r>
    </w:p>
    <w:p w:rsidR="005433DF" w:rsidRDefault="005433DF" w:rsidP="00817955">
      <w:pPr>
        <w:pStyle w:val="Odstavecseseznamem"/>
        <w:numPr>
          <w:ilvl w:val="0"/>
          <w:numId w:val="10"/>
        </w:numPr>
      </w:pPr>
      <w:r>
        <w:t>Pracovní nástroje</w:t>
      </w:r>
      <w:r w:rsidR="00AC26FF">
        <w:t>;</w:t>
      </w:r>
    </w:p>
    <w:p w:rsidR="005433DF" w:rsidRDefault="00AC26FF" w:rsidP="00817955">
      <w:pPr>
        <w:pStyle w:val="Odstavecseseznamem"/>
        <w:numPr>
          <w:ilvl w:val="0"/>
          <w:numId w:val="10"/>
        </w:numPr>
      </w:pPr>
      <w:r>
        <w:t>Velké stroje.</w:t>
      </w:r>
    </w:p>
    <w:p w:rsidR="005433DF" w:rsidRDefault="005433DF" w:rsidP="00817955">
      <w:r>
        <w:t xml:space="preserve">V případě, že některá z institucí má zájem nakoupit pomocí BBG zboží či služby, pro které nemá BBG uzavřené žádné smlouvy, může instituce požádat BBG o </w:t>
      </w:r>
      <w:r w:rsidR="00C70A5B">
        <w:t xml:space="preserve">realizaci </w:t>
      </w:r>
      <w:r>
        <w:t xml:space="preserve">dodatečného výběrového řízení. To se může týkat v zásadě jakékoliv </w:t>
      </w:r>
      <w:r w:rsidR="00C70A5B">
        <w:t>komodity</w:t>
      </w:r>
      <w:r>
        <w:t>.</w:t>
      </w:r>
    </w:p>
    <w:p w:rsidR="007550BC" w:rsidRPr="00D554D2" w:rsidRDefault="007550BC" w:rsidP="00817955">
      <w:r>
        <w:t xml:space="preserve">BBG se dále zabývá poradenstvím v oblasti veřejného zadávání. Správní poplatek za tyto služby pokrývá především výdaje na chod úřadu, zajištění zadávání veřejných zakázek </w:t>
      </w:r>
      <w:r w:rsidR="00AC26FF">
        <w:t xml:space="preserve">(včetně nákladů za právní služby) </w:t>
      </w:r>
      <w:r>
        <w:t>a</w:t>
      </w:r>
      <w:r w:rsidR="00AC26FF">
        <w:t> </w:t>
      </w:r>
      <w:r>
        <w:t>dostatečn</w:t>
      </w:r>
      <w:r w:rsidR="00AC26FF">
        <w:t>é technické podpory</w:t>
      </w:r>
      <w:r>
        <w:t>.</w:t>
      </w:r>
    </w:p>
    <w:p w:rsidR="005433DF" w:rsidRDefault="005433DF" w:rsidP="00817955">
      <w:pPr>
        <w:pStyle w:val="Nadpis2"/>
      </w:pPr>
      <w:bookmarkStart w:id="18" w:name="_Toc401229431"/>
      <w:bookmarkStart w:id="19" w:name="_Toc402536862"/>
      <w:bookmarkStart w:id="20" w:name="_Toc401683610"/>
      <w:bookmarkStart w:id="21" w:name="_Toc407612386"/>
      <w:bookmarkStart w:id="22" w:name="_Toc411520432"/>
      <w:r>
        <w:t>Způsob nakupování pomocí BBG</w:t>
      </w:r>
      <w:bookmarkEnd w:id="18"/>
      <w:bookmarkEnd w:id="19"/>
      <w:bookmarkEnd w:id="20"/>
      <w:bookmarkEnd w:id="21"/>
      <w:bookmarkEnd w:id="22"/>
    </w:p>
    <w:p w:rsidR="005433DF" w:rsidRPr="009032A8" w:rsidRDefault="005433DF" w:rsidP="00817955">
      <w:pPr>
        <w:pStyle w:val="Nadpis3"/>
      </w:pPr>
      <w:bookmarkStart w:id="23" w:name="_Toc401229432"/>
      <w:bookmarkStart w:id="24" w:name="_Toc402536863"/>
      <w:bookmarkStart w:id="25" w:name="_Toc401683611"/>
      <w:bookmarkStart w:id="26" w:name="_Toc407612387"/>
      <w:bookmarkStart w:id="27" w:name="_Toc411520433"/>
      <w:r w:rsidRPr="00817955">
        <w:t>Nákup</w:t>
      </w:r>
      <w:r>
        <w:t xml:space="preserve"> na základě rámcových smluv</w:t>
      </w:r>
      <w:bookmarkEnd w:id="23"/>
      <w:bookmarkEnd w:id="24"/>
      <w:bookmarkEnd w:id="25"/>
      <w:bookmarkEnd w:id="26"/>
      <w:bookmarkEnd w:id="27"/>
    </w:p>
    <w:p w:rsidR="005433DF" w:rsidRDefault="00544B05" w:rsidP="00817955">
      <w:r>
        <w:t xml:space="preserve">Prvním způsobem, jehož prostřednictvím BBG zabezpečuje nákup, je uzavírání rámcových smluv. </w:t>
      </w:r>
      <w:r w:rsidR="005433DF">
        <w:t xml:space="preserve">BBG dostává průběžně během roku závazné </w:t>
      </w:r>
      <w:r>
        <w:t>i</w:t>
      </w:r>
      <w:r w:rsidR="005433DF">
        <w:t xml:space="preserve"> nezávazné </w:t>
      </w:r>
      <w:r w:rsidR="005433DF" w:rsidRPr="00F5645F">
        <w:t xml:space="preserve">požadavky </w:t>
      </w:r>
      <w:r w:rsidR="008D09B2">
        <w:t xml:space="preserve">od jednotlivých </w:t>
      </w:r>
      <w:r w:rsidR="005433DF" w:rsidRPr="00F5645F">
        <w:t>institucí.</w:t>
      </w:r>
      <w:r>
        <w:t xml:space="preserve"> Na základě obdržených požadavků v</w:t>
      </w:r>
      <w:r w:rsidR="005433DF">
        <w:t>ytv</w:t>
      </w:r>
      <w:r>
        <w:t>o</w:t>
      </w:r>
      <w:r w:rsidR="005433DF">
        <w:t xml:space="preserve">ří kategorie zboží a služeb, na jejichž dodávku </w:t>
      </w:r>
      <w:r>
        <w:t xml:space="preserve">vyhlásí </w:t>
      </w:r>
      <w:r w:rsidR="005433DF">
        <w:t xml:space="preserve">výběrová řízení. S úspěšnými dodavateli </w:t>
      </w:r>
      <w:r>
        <w:t xml:space="preserve">jsou uzavřeny </w:t>
      </w:r>
      <w:r w:rsidR="005433DF">
        <w:t>rámcové smlouvy</w:t>
      </w:r>
      <w:r w:rsidR="005433DF" w:rsidRPr="005A27D7">
        <w:t>. V nich je stanovena například cena a</w:t>
      </w:r>
      <w:r w:rsidR="008D09B2">
        <w:t> </w:t>
      </w:r>
      <w:r>
        <w:t>předpokládaný objem odebraných</w:t>
      </w:r>
      <w:r w:rsidRPr="005A27D7">
        <w:t xml:space="preserve"> </w:t>
      </w:r>
      <w:r w:rsidR="005433DF" w:rsidRPr="005A27D7">
        <w:t xml:space="preserve">služeb či zboží. </w:t>
      </w:r>
      <w:r w:rsidR="005433DF">
        <w:t>Rámcové s</w:t>
      </w:r>
      <w:r w:rsidR="005433DF" w:rsidRPr="005A27D7">
        <w:t>mlouvy</w:t>
      </w:r>
      <w:r w:rsidR="005433DF">
        <w:t xml:space="preserve"> </w:t>
      </w:r>
      <w:r>
        <w:t xml:space="preserve">jsou uzavírány na </w:t>
      </w:r>
      <w:r w:rsidR="005433DF">
        <w:t>dobu</w:t>
      </w:r>
      <w:r w:rsidR="005433DF" w:rsidRPr="0014287F">
        <w:t xml:space="preserve"> </w:t>
      </w:r>
      <w:r>
        <w:t>maximálně</w:t>
      </w:r>
      <w:r w:rsidR="005433DF">
        <w:t xml:space="preserve"> </w:t>
      </w:r>
      <w:r w:rsidR="00AC26FF">
        <w:t>tří</w:t>
      </w:r>
      <w:r w:rsidR="005433DF">
        <w:t xml:space="preserve"> </w:t>
      </w:r>
      <w:r>
        <w:t>let</w:t>
      </w:r>
      <w:r w:rsidR="005433DF">
        <w:t xml:space="preserve">. Pouze v odůvodněných případech je možné uzavřít smlouvu na dobu </w:t>
      </w:r>
      <w:r w:rsidR="00AC26FF">
        <w:t>až pěti</w:t>
      </w:r>
      <w:r w:rsidR="005433DF">
        <w:t xml:space="preserve"> let. </w:t>
      </w:r>
    </w:p>
    <w:p w:rsidR="005433DF" w:rsidRDefault="00AC26FF" w:rsidP="00817955">
      <w:r>
        <w:lastRenderedPageBreak/>
        <w:t>Výběrová řízení probíhají</w:t>
      </w:r>
      <w:r w:rsidR="005433DF">
        <w:t xml:space="preserve"> podle</w:t>
      </w:r>
      <w:r w:rsidR="00093149">
        <w:t xml:space="preserve"> spolkového zákona o veřejných zakázkách</w:t>
      </w:r>
      <w:r w:rsidR="00093149">
        <w:rPr>
          <w:rStyle w:val="Znakapoznpodarou"/>
        </w:rPr>
        <w:footnoteReference w:id="9"/>
      </w:r>
      <w:r w:rsidR="005433DF">
        <w:t xml:space="preserve">. </w:t>
      </w:r>
      <w:r>
        <w:t>Zákon umožňuje čtyři druhy zadávacího řízení, na jehož základě pak dojde k uzavření rámcové smlouvy</w:t>
      </w:r>
      <w:r w:rsidR="005433DF">
        <w:t>:</w:t>
      </w:r>
    </w:p>
    <w:p w:rsidR="005433DF" w:rsidRPr="00331C76" w:rsidRDefault="00CF4ABA" w:rsidP="00817955">
      <w:pPr>
        <w:pStyle w:val="Odstavecseseznamem"/>
        <w:numPr>
          <w:ilvl w:val="0"/>
          <w:numId w:val="7"/>
        </w:numPr>
        <w:rPr>
          <w:b/>
        </w:rPr>
      </w:pPr>
      <w:r>
        <w:rPr>
          <w:b/>
        </w:rPr>
        <w:t>Otevřené</w:t>
      </w:r>
      <w:r w:rsidR="005433DF" w:rsidRPr="00331C76">
        <w:rPr>
          <w:b/>
        </w:rPr>
        <w:t xml:space="preserve"> řízení</w:t>
      </w:r>
      <w:r w:rsidR="005433DF">
        <w:rPr>
          <w:b/>
        </w:rPr>
        <w:t xml:space="preserve">: </w:t>
      </w:r>
      <w:r w:rsidR="00093149" w:rsidRPr="00023562">
        <w:t>Zadavatel</w:t>
      </w:r>
      <w:r w:rsidR="00093149">
        <w:t xml:space="preserve"> neomezuje počet uchazečů, nabídku na základě zveřejněné zadávací dokumentace může předložit jakýkoli uchazeč.</w:t>
      </w:r>
    </w:p>
    <w:p w:rsidR="005433DF" w:rsidRPr="00331C76" w:rsidRDefault="00F23703" w:rsidP="00817955">
      <w:pPr>
        <w:pStyle w:val="Odstavecseseznamem"/>
        <w:numPr>
          <w:ilvl w:val="0"/>
          <w:numId w:val="7"/>
        </w:numPr>
        <w:rPr>
          <w:b/>
        </w:rPr>
      </w:pPr>
      <w:r>
        <w:rPr>
          <w:b/>
        </w:rPr>
        <w:t>Uzavřené</w:t>
      </w:r>
      <w:r w:rsidR="005433DF" w:rsidRPr="00331C76">
        <w:rPr>
          <w:b/>
        </w:rPr>
        <w:t xml:space="preserve"> řízení s předchozím zveřejněním:</w:t>
      </w:r>
      <w:r w:rsidR="005433DF">
        <w:rPr>
          <w:b/>
        </w:rPr>
        <w:t xml:space="preserve"> </w:t>
      </w:r>
      <w:r w:rsidR="005433DF">
        <w:t xml:space="preserve">Zadavatel vyzve dodavatele k předložení přihlášek k účasti ve výběrovém řízení. Z přihlášených subjektů zadavatel </w:t>
      </w:r>
      <w:r w:rsidR="00093149">
        <w:t xml:space="preserve">vybere </w:t>
      </w:r>
      <w:r w:rsidR="005433DF">
        <w:t xml:space="preserve">minimálně </w:t>
      </w:r>
      <w:r>
        <w:t>pět</w:t>
      </w:r>
      <w:r w:rsidR="005433DF">
        <w:t xml:space="preserve"> firem, které vyzve k předložení konkrétních nabídek.</w:t>
      </w:r>
    </w:p>
    <w:p w:rsidR="005433DF" w:rsidRDefault="00093149" w:rsidP="00817955">
      <w:pPr>
        <w:pStyle w:val="Odstavecseseznamem"/>
        <w:numPr>
          <w:ilvl w:val="0"/>
          <w:numId w:val="7"/>
        </w:numPr>
        <w:rPr>
          <w:b/>
        </w:rPr>
      </w:pPr>
      <w:r>
        <w:rPr>
          <w:b/>
        </w:rPr>
        <w:t xml:space="preserve">Jednací </w:t>
      </w:r>
      <w:r w:rsidR="005433DF">
        <w:rPr>
          <w:b/>
        </w:rPr>
        <w:t>řízení</w:t>
      </w:r>
      <w:r>
        <w:rPr>
          <w:b/>
        </w:rPr>
        <w:t xml:space="preserve"> </w:t>
      </w:r>
      <w:r w:rsidR="005433DF">
        <w:rPr>
          <w:b/>
        </w:rPr>
        <w:t>s  uveřejněním:</w:t>
      </w:r>
      <w:r w:rsidR="005433DF" w:rsidRPr="000148B3">
        <w:t xml:space="preserve"> </w:t>
      </w:r>
      <w:r w:rsidR="005433DF">
        <w:t>Zadavatel vyzve dodavatele k předložení přihlášek k účasti ve výběrovém řízení. Z přihlášených subjektů vybere</w:t>
      </w:r>
      <w:r w:rsidR="005433DF" w:rsidRPr="00AA1BC5">
        <w:t xml:space="preserve"> </w:t>
      </w:r>
      <w:r w:rsidR="005433DF">
        <w:t xml:space="preserve">zadavatel minimálně </w:t>
      </w:r>
      <w:r w:rsidR="00F23703">
        <w:t xml:space="preserve">tři </w:t>
      </w:r>
      <w:r w:rsidR="005433DF">
        <w:t>firmy, se kterými začne vyjednávat o konkrétní podobě rámcové smlouvy.</w:t>
      </w:r>
    </w:p>
    <w:p w:rsidR="005433DF" w:rsidRPr="00222ACD" w:rsidRDefault="00093149" w:rsidP="00817955">
      <w:pPr>
        <w:pStyle w:val="Odstavecseseznamem"/>
        <w:numPr>
          <w:ilvl w:val="0"/>
          <w:numId w:val="7"/>
        </w:numPr>
        <w:rPr>
          <w:b/>
        </w:rPr>
      </w:pPr>
      <w:r>
        <w:rPr>
          <w:b/>
        </w:rPr>
        <w:t xml:space="preserve">Jednací </w:t>
      </w:r>
      <w:r w:rsidR="005433DF">
        <w:rPr>
          <w:b/>
        </w:rPr>
        <w:t>řízení bez uveřejnění:</w:t>
      </w:r>
      <w:r w:rsidR="005433DF" w:rsidRPr="00023562">
        <w:t xml:space="preserve"> </w:t>
      </w:r>
      <w:r w:rsidR="00843D68" w:rsidRPr="00023562">
        <w:t xml:space="preserve">Zadavatel </w:t>
      </w:r>
      <w:r w:rsidR="00843D68">
        <w:t>v</w:t>
      </w:r>
      <w:r w:rsidR="005433DF">
        <w:t>yzve omezený počet dodavatelů k odevzdání nabídek, na základě kterých se pak vyjednává o konkrétních podmínkách rámcových smluv.</w:t>
      </w:r>
    </w:p>
    <w:p w:rsidR="005433DF" w:rsidRDefault="005433DF" w:rsidP="00817955">
      <w:r>
        <w:t>Uzavřené rámcové smlouvy jsou umístěn</w:t>
      </w:r>
      <w:r w:rsidR="00F23703">
        <w:t>y</w:t>
      </w:r>
      <w:r>
        <w:t xml:space="preserve"> v e-</w:t>
      </w:r>
      <w:proofErr w:type="spellStart"/>
      <w:r>
        <w:t>shopu</w:t>
      </w:r>
      <w:proofErr w:type="spellEnd"/>
      <w:r>
        <w:t>, ve kterém mohou jednotlivé instituce nakupovat. Produkty, jako jsou např. židle nebo tiskárny, si mohou instituce přímo objednat a dodavatel jim je obratem zašle. U složitějších služeb a zboží, zprostředkuje</w:t>
      </w:r>
      <w:r w:rsidRPr="00B73CF6">
        <w:t xml:space="preserve"> </w:t>
      </w:r>
      <w:r>
        <w:t>nákup BBG.</w:t>
      </w:r>
    </w:p>
    <w:p w:rsidR="005433DF" w:rsidRPr="009032A8" w:rsidRDefault="005433DF" w:rsidP="00817955">
      <w:pPr>
        <w:pStyle w:val="Nadpis3"/>
      </w:pPr>
      <w:bookmarkStart w:id="28" w:name="_Toc401229433"/>
      <w:bookmarkStart w:id="29" w:name="_Toc402536864"/>
      <w:bookmarkStart w:id="30" w:name="_Toc401683612"/>
      <w:bookmarkStart w:id="31" w:name="_Toc407612388"/>
      <w:bookmarkStart w:id="32" w:name="_Toc411520434"/>
      <w:r>
        <w:t>Nákup pomocí dynamického nákupního systému</w:t>
      </w:r>
      <w:bookmarkEnd w:id="28"/>
      <w:bookmarkEnd w:id="29"/>
      <w:bookmarkEnd w:id="30"/>
      <w:bookmarkEnd w:id="31"/>
      <w:bookmarkEnd w:id="32"/>
    </w:p>
    <w:p w:rsidR="005433DF" w:rsidRDefault="005433DF" w:rsidP="00817955">
      <w:r>
        <w:t xml:space="preserve">Druhým způsobem nákupu </w:t>
      </w:r>
      <w:r w:rsidR="00843D68">
        <w:t>zajišťovaným prostřednictvím</w:t>
      </w:r>
      <w:r>
        <w:t xml:space="preserve"> BBG je dynamický nákupní systém. Jedná se </w:t>
      </w:r>
      <w:r w:rsidR="00843D68">
        <w:t>o </w:t>
      </w:r>
      <w:r>
        <w:t>plně elektronizované řízení, v jehož rámci jsou nakupovány produkty běžně dostupné na trhu. V </w:t>
      </w:r>
      <w:r w:rsidRPr="00817955">
        <w:t>současné</w:t>
      </w:r>
      <w:r>
        <w:t xml:space="preserve"> době provozuje BBG dva stálé systémy (na nákup pouličního osvětlení a automatů na potraviny) a jeden jednorázový </w:t>
      </w:r>
      <w:r w:rsidR="00F23703">
        <w:t xml:space="preserve">systém </w:t>
      </w:r>
      <w:r>
        <w:t xml:space="preserve">(nákup automatů na potraviny pro firmu </w:t>
      </w:r>
      <w:proofErr w:type="spellStart"/>
      <w:r>
        <w:t>Wiener</w:t>
      </w:r>
      <w:proofErr w:type="spellEnd"/>
      <w:r>
        <w:t xml:space="preserve"> </w:t>
      </w:r>
      <w:proofErr w:type="spellStart"/>
      <w:r>
        <w:t>Netze</w:t>
      </w:r>
      <w:proofErr w:type="spellEnd"/>
      <w:r>
        <w:t xml:space="preserve"> </w:t>
      </w:r>
      <w:proofErr w:type="spellStart"/>
      <w:r>
        <w:t>GmbH</w:t>
      </w:r>
      <w:proofErr w:type="spellEnd"/>
      <w:r>
        <w:t xml:space="preserve">). Dynamického nákupního systému se může účastnit jakákoliv firma, která je </w:t>
      </w:r>
      <w:r w:rsidR="00843D68">
        <w:t>splňuje</w:t>
      </w:r>
      <w:r>
        <w:t xml:space="preserve"> zadávací podmínky. </w:t>
      </w:r>
    </w:p>
    <w:p w:rsidR="005433DF" w:rsidRDefault="005433DF" w:rsidP="00817955">
      <w:pPr>
        <w:pStyle w:val="Nadpis2"/>
      </w:pPr>
      <w:bookmarkStart w:id="33" w:name="_Toc402536865"/>
      <w:bookmarkStart w:id="34" w:name="_Toc401683613"/>
      <w:bookmarkStart w:id="35" w:name="_Toc407612389"/>
      <w:bookmarkStart w:id="36" w:name="_Toc411520435"/>
      <w:r>
        <w:t>Efektivita</w:t>
      </w:r>
      <w:bookmarkEnd w:id="33"/>
      <w:bookmarkEnd w:id="34"/>
      <w:bookmarkEnd w:id="35"/>
      <w:bookmarkEnd w:id="36"/>
    </w:p>
    <w:p w:rsidR="005433DF" w:rsidRDefault="005433DF" w:rsidP="00817955">
      <w:r>
        <w:t xml:space="preserve">Dle výroční zprávy za rok 2013 bylo </w:t>
      </w:r>
      <w:r w:rsidR="00843D68">
        <w:t>prostřednictvím BBG</w:t>
      </w:r>
      <w:r>
        <w:t xml:space="preserve"> nakoupeno zboží a služby celkem za 1,</w:t>
      </w:r>
      <w:r w:rsidR="00843D68">
        <w:t>157 </w:t>
      </w:r>
      <w:r>
        <w:t xml:space="preserve">miliardy </w:t>
      </w:r>
      <w:r w:rsidR="00843D68">
        <w:t xml:space="preserve">EUR. </w:t>
      </w:r>
      <w:r>
        <w:t xml:space="preserve">Z toho ICT a telekomunikace tvořily 23 %, energie 19 %, transport 19 %, služby 11 % a správa budov 11 %. </w:t>
      </w:r>
      <w:r w:rsidRPr="00BC4CD5">
        <w:rPr>
          <w:b/>
        </w:rPr>
        <w:t xml:space="preserve">Celkové úspory </w:t>
      </w:r>
      <w:r w:rsidR="00BC4CD5">
        <w:rPr>
          <w:b/>
        </w:rPr>
        <w:t xml:space="preserve">dosažené využitím centrálního nákupu státu </w:t>
      </w:r>
      <w:r w:rsidRPr="00BC4CD5">
        <w:rPr>
          <w:b/>
        </w:rPr>
        <w:t xml:space="preserve">jsou odhadovány na 253 milionů </w:t>
      </w:r>
      <w:r w:rsidR="00843D68" w:rsidRPr="00BC4CD5">
        <w:rPr>
          <w:b/>
        </w:rPr>
        <w:t>EUR (resp. 17,9 %).</w:t>
      </w:r>
      <w:r w:rsidR="00843D68">
        <w:t xml:space="preserve"> </w:t>
      </w:r>
    </w:p>
    <w:p w:rsidR="005433DF" w:rsidRPr="00AE0A05" w:rsidRDefault="005433DF" w:rsidP="00817955">
      <w:r>
        <w:t>Od roku 2002 výrazně narostl podíl nepovinných subjektů</w:t>
      </w:r>
      <w:r w:rsidR="00843D68">
        <w:t>, kte</w:t>
      </w:r>
      <w:r w:rsidR="00BC4CD5">
        <w:t>ré</w:t>
      </w:r>
      <w:r w:rsidR="00843D68">
        <w:t xml:space="preserve"> využil</w:t>
      </w:r>
      <w:r w:rsidR="00BC4CD5">
        <w:t>y</w:t>
      </w:r>
      <w:r w:rsidR="00843D68">
        <w:t xml:space="preserve"> možnost nákupu prostřednictvím</w:t>
      </w:r>
      <w:r>
        <w:t xml:space="preserve"> BBG. V současné době tvoří spolkové instituce pouze 46% tržeb. Zbytek je rozdělen mezi státem vlastněné/dotované společnosti (21,1 %), spolkové země (14,3 %), zdravotnictví (10,2 %) a vysoké školy (8,4 %).</w:t>
      </w:r>
    </w:p>
    <w:p w:rsidR="005433DF" w:rsidRDefault="005433DF" w:rsidP="00817955">
      <w:pPr>
        <w:pStyle w:val="Nadpis1"/>
      </w:pPr>
      <w:bookmarkStart w:id="37" w:name="_Toc401229435"/>
      <w:bookmarkStart w:id="38" w:name="_Toc402536867"/>
      <w:bookmarkStart w:id="39" w:name="_Toc401683615"/>
      <w:bookmarkStart w:id="40" w:name="_Toc407612391"/>
      <w:bookmarkStart w:id="41" w:name="_Toc411520436"/>
      <w:r>
        <w:lastRenderedPageBreak/>
        <w:t>Spojené království Velké Británie a Severního Irska</w:t>
      </w:r>
      <w:bookmarkEnd w:id="37"/>
      <w:bookmarkEnd w:id="38"/>
      <w:bookmarkEnd w:id="39"/>
      <w:bookmarkEnd w:id="40"/>
      <w:bookmarkEnd w:id="41"/>
    </w:p>
    <w:p w:rsidR="00F23703" w:rsidRDefault="005433DF" w:rsidP="00817955">
      <w:r>
        <w:t xml:space="preserve">Ve Spojeném království </w:t>
      </w:r>
      <w:r w:rsidR="00BC4CD5" w:rsidRPr="00BC4CD5">
        <w:t xml:space="preserve">Velké Británie a Severního Irska </w:t>
      </w:r>
      <w:r>
        <w:t xml:space="preserve">působí v současné době tři organizace, které </w:t>
      </w:r>
      <w:r w:rsidR="00911C54">
        <w:t>zajišťují</w:t>
      </w:r>
      <w:r>
        <w:t xml:space="preserve"> centrální nákup pro státní správu</w:t>
      </w:r>
      <w:r w:rsidR="00097994">
        <w:t xml:space="preserve">: </w:t>
      </w:r>
    </w:p>
    <w:p w:rsidR="00F23703" w:rsidRDefault="00097994" w:rsidP="0015247E">
      <w:pPr>
        <w:pStyle w:val="Odstavecseseznamem"/>
        <w:numPr>
          <w:ilvl w:val="0"/>
          <w:numId w:val="35"/>
        </w:numPr>
        <w:ind w:left="714" w:hanging="357"/>
      </w:pPr>
      <w:proofErr w:type="spellStart"/>
      <w:r w:rsidRPr="00F23703">
        <w:rPr>
          <w:i/>
        </w:rPr>
        <w:t>Crown</w:t>
      </w:r>
      <w:proofErr w:type="spellEnd"/>
      <w:r w:rsidRPr="00F23703">
        <w:rPr>
          <w:i/>
        </w:rPr>
        <w:t xml:space="preserve"> </w:t>
      </w:r>
      <w:proofErr w:type="spellStart"/>
      <w:r w:rsidRPr="00F23703">
        <w:rPr>
          <w:i/>
        </w:rPr>
        <w:t>Commercial</w:t>
      </w:r>
      <w:proofErr w:type="spellEnd"/>
      <w:r w:rsidRPr="00F23703">
        <w:rPr>
          <w:i/>
        </w:rPr>
        <w:t xml:space="preserve"> </w:t>
      </w:r>
      <w:proofErr w:type="spellStart"/>
      <w:r w:rsidRPr="00F23703">
        <w:rPr>
          <w:i/>
        </w:rPr>
        <w:t>Service</w:t>
      </w:r>
      <w:proofErr w:type="spellEnd"/>
      <w:r w:rsidR="00F23703">
        <w:t xml:space="preserve"> je největším centrálním zadavatelem Spojeného království. Jedná se o </w:t>
      </w:r>
      <w:r w:rsidR="00F23703" w:rsidRPr="00023562">
        <w:t>výkonné pracoviště</w:t>
      </w:r>
      <w:r w:rsidR="00F23703" w:rsidRPr="00BC4CD5">
        <w:rPr>
          <w:vertAlign w:val="superscript"/>
        </w:rPr>
        <w:footnoteReference w:id="10"/>
      </w:r>
      <w:r w:rsidR="00F23703" w:rsidRPr="00023562">
        <w:t xml:space="preserve"> spadající pod </w:t>
      </w:r>
      <w:proofErr w:type="spellStart"/>
      <w:r w:rsidR="00F23703" w:rsidRPr="00023562">
        <w:rPr>
          <w:i/>
        </w:rPr>
        <w:t>Cabinet</w:t>
      </w:r>
      <w:proofErr w:type="spellEnd"/>
      <w:r w:rsidR="00F23703" w:rsidRPr="00023562">
        <w:rPr>
          <w:i/>
        </w:rPr>
        <w:t xml:space="preserve"> Office</w:t>
      </w:r>
      <w:r w:rsidR="0015247E">
        <w:t xml:space="preserve">, </w:t>
      </w:r>
      <w:r w:rsidR="00F23703" w:rsidRPr="00023562">
        <w:t>britskou obdobu Úřadu vlády</w:t>
      </w:r>
      <w:r w:rsidR="00F23703">
        <w:t>, které zajišťuje nákup zboží a služeb pro centrální londýnskou vládu a podřízené instituce (nemocnice apod.);</w:t>
      </w:r>
    </w:p>
    <w:p w:rsidR="00F23703" w:rsidRDefault="00097994" w:rsidP="0015247E">
      <w:pPr>
        <w:pStyle w:val="Odstavecseseznamem"/>
        <w:numPr>
          <w:ilvl w:val="0"/>
          <w:numId w:val="35"/>
        </w:numPr>
        <w:ind w:left="714" w:hanging="357"/>
      </w:pPr>
      <w:proofErr w:type="spellStart"/>
      <w:r w:rsidRPr="00F23703">
        <w:rPr>
          <w:i/>
        </w:rPr>
        <w:t>Central</w:t>
      </w:r>
      <w:proofErr w:type="spellEnd"/>
      <w:r w:rsidRPr="00F23703">
        <w:rPr>
          <w:i/>
        </w:rPr>
        <w:t xml:space="preserve"> </w:t>
      </w:r>
      <w:proofErr w:type="spellStart"/>
      <w:r w:rsidRPr="00F23703">
        <w:rPr>
          <w:i/>
        </w:rPr>
        <w:t>Procurement</w:t>
      </w:r>
      <w:proofErr w:type="spellEnd"/>
      <w:r w:rsidRPr="00F23703">
        <w:rPr>
          <w:i/>
        </w:rPr>
        <w:t xml:space="preserve"> </w:t>
      </w:r>
      <w:proofErr w:type="spellStart"/>
      <w:r w:rsidRPr="00F23703">
        <w:rPr>
          <w:i/>
        </w:rPr>
        <w:t>Directorate</w:t>
      </w:r>
      <w:proofErr w:type="spellEnd"/>
      <w:r w:rsidR="00F23703">
        <w:t xml:space="preserve"> je speciální pracoviště spadající pod severoirské ministerstvo financí, které zajišťuje centrální nákup</w:t>
      </w:r>
      <w:r w:rsidR="00F23703" w:rsidRPr="00097994">
        <w:t xml:space="preserve"> </w:t>
      </w:r>
      <w:r w:rsidR="00F23703">
        <w:t>v Severním Irsku;</w:t>
      </w:r>
    </w:p>
    <w:p w:rsidR="00097994" w:rsidRDefault="00097994" w:rsidP="0015247E">
      <w:pPr>
        <w:pStyle w:val="Odstavecseseznamem"/>
        <w:numPr>
          <w:ilvl w:val="0"/>
          <w:numId w:val="35"/>
        </w:numPr>
        <w:ind w:left="714" w:hanging="357"/>
      </w:pPr>
      <w:proofErr w:type="spellStart"/>
      <w:r w:rsidRPr="00F23703">
        <w:rPr>
          <w:i/>
        </w:rPr>
        <w:t>Value</w:t>
      </w:r>
      <w:proofErr w:type="spellEnd"/>
      <w:r w:rsidRPr="00F23703">
        <w:rPr>
          <w:i/>
        </w:rPr>
        <w:t xml:space="preserve"> Wales</w:t>
      </w:r>
      <w:r w:rsidR="00F23703">
        <w:t xml:space="preserve"> zajišťuje agendu centrálního nákupu ve Walesu, z hlediska organizačního se jedná o útvar místní, velšské, vlády.</w:t>
      </w:r>
    </w:p>
    <w:p w:rsidR="00097994" w:rsidRDefault="00217F3E" w:rsidP="00817955">
      <w:r>
        <w:t xml:space="preserve">Ve </w:t>
      </w:r>
      <w:r w:rsidR="005433DF">
        <w:t>Skotsk</w:t>
      </w:r>
      <w:r>
        <w:t>u</w:t>
      </w:r>
      <w:r w:rsidR="005433DF">
        <w:t xml:space="preserve"> </w:t>
      </w:r>
      <w:r w:rsidR="00EB56D3">
        <w:t>specializované pracoviště pro centrální nákup vytvořeno nebylo</w:t>
      </w:r>
      <w:r w:rsidR="00097994">
        <w:t>,</w:t>
      </w:r>
      <w:r w:rsidR="00EB56D3">
        <w:t xml:space="preserve"> je zde provozováno </w:t>
      </w:r>
      <w:r w:rsidR="00911C54">
        <w:t>několik nákupních elektronických systémů</w:t>
      </w:r>
      <w:r w:rsidR="00911C54">
        <w:rPr>
          <w:rStyle w:val="Znakapoznpodarou"/>
        </w:rPr>
        <w:footnoteReference w:id="11"/>
      </w:r>
      <w:r w:rsidR="00911C54">
        <w:t>-</w:t>
      </w:r>
      <w:r w:rsidR="005433DF">
        <w:t xml:space="preserve"> </w:t>
      </w:r>
      <w:r w:rsidR="00EB56D3">
        <w:t xml:space="preserve">využívaných </w:t>
      </w:r>
      <w:r w:rsidR="005433DF">
        <w:t xml:space="preserve">celou skotskou státní správou. </w:t>
      </w:r>
    </w:p>
    <w:p w:rsidR="005433DF" w:rsidRDefault="00EB56D3" w:rsidP="00817955">
      <w:r>
        <w:t xml:space="preserve">Praxe v oblasti centrálního nákupu je dále ilustrována na příkladu </w:t>
      </w:r>
      <w:r w:rsidR="00B13710">
        <w:t>britské</w:t>
      </w:r>
      <w:r>
        <w:t xml:space="preserve"> </w:t>
      </w:r>
      <w:proofErr w:type="spellStart"/>
      <w:r w:rsidR="005433DF" w:rsidRPr="00023562">
        <w:rPr>
          <w:i/>
        </w:rPr>
        <w:t>Crown</w:t>
      </w:r>
      <w:proofErr w:type="spellEnd"/>
      <w:r w:rsidR="005433DF" w:rsidRPr="00023562">
        <w:rPr>
          <w:i/>
        </w:rPr>
        <w:t xml:space="preserve"> </w:t>
      </w:r>
      <w:proofErr w:type="spellStart"/>
      <w:r w:rsidR="005433DF" w:rsidRPr="00023562">
        <w:rPr>
          <w:i/>
        </w:rPr>
        <w:t>Commercial</w:t>
      </w:r>
      <w:proofErr w:type="spellEnd"/>
      <w:r w:rsidR="005433DF" w:rsidRPr="00023562">
        <w:rPr>
          <w:i/>
        </w:rPr>
        <w:t xml:space="preserve"> </w:t>
      </w:r>
      <w:proofErr w:type="spellStart"/>
      <w:r w:rsidR="005433DF" w:rsidRPr="00023562">
        <w:rPr>
          <w:i/>
        </w:rPr>
        <w:t>Service</w:t>
      </w:r>
      <w:proofErr w:type="spellEnd"/>
      <w:r w:rsidR="005433DF">
        <w:t>.</w:t>
      </w:r>
    </w:p>
    <w:p w:rsidR="005433DF" w:rsidRDefault="005433DF">
      <w:pPr>
        <w:pStyle w:val="Nadpis2"/>
      </w:pPr>
      <w:bookmarkStart w:id="42" w:name="_Toc401229436"/>
      <w:bookmarkStart w:id="43" w:name="_Toc402536868"/>
      <w:bookmarkStart w:id="44" w:name="_Toc401683616"/>
      <w:bookmarkStart w:id="45" w:name="_Toc407612392"/>
      <w:bookmarkStart w:id="46" w:name="_Toc411520437"/>
      <w:r>
        <w:t xml:space="preserve">Rozsah činnosti </w:t>
      </w:r>
      <w:proofErr w:type="spellStart"/>
      <w:r>
        <w:t>Crown</w:t>
      </w:r>
      <w:proofErr w:type="spellEnd"/>
      <w:r>
        <w:t xml:space="preserve"> </w:t>
      </w:r>
      <w:proofErr w:type="spellStart"/>
      <w:r>
        <w:t>Commercial</w:t>
      </w:r>
      <w:proofErr w:type="spellEnd"/>
      <w:r>
        <w:t xml:space="preserve"> </w:t>
      </w:r>
      <w:proofErr w:type="spellStart"/>
      <w:r>
        <w:t>Service</w:t>
      </w:r>
      <w:bookmarkEnd w:id="42"/>
      <w:bookmarkEnd w:id="43"/>
      <w:bookmarkEnd w:id="44"/>
      <w:bookmarkEnd w:id="45"/>
      <w:bookmarkEnd w:id="46"/>
      <w:proofErr w:type="spellEnd"/>
    </w:p>
    <w:p w:rsidR="00097994" w:rsidRDefault="00097994" w:rsidP="00817955">
      <w:pPr>
        <w:rPr>
          <w:i/>
        </w:rPr>
      </w:pPr>
      <w:proofErr w:type="spellStart"/>
      <w:r w:rsidRPr="009D0B7A">
        <w:rPr>
          <w:i/>
        </w:rPr>
        <w:t>Crown</w:t>
      </w:r>
      <w:proofErr w:type="spellEnd"/>
      <w:r w:rsidRPr="009D0B7A">
        <w:rPr>
          <w:i/>
        </w:rPr>
        <w:t xml:space="preserve"> </w:t>
      </w:r>
      <w:proofErr w:type="spellStart"/>
      <w:r w:rsidRPr="009D0B7A">
        <w:rPr>
          <w:i/>
        </w:rPr>
        <w:t>Commercial</w:t>
      </w:r>
      <w:proofErr w:type="spellEnd"/>
      <w:r w:rsidRPr="009D0B7A">
        <w:rPr>
          <w:i/>
        </w:rPr>
        <w:t xml:space="preserve"> </w:t>
      </w:r>
      <w:proofErr w:type="spellStart"/>
      <w:r w:rsidRPr="009D0B7A">
        <w:rPr>
          <w:i/>
        </w:rPr>
        <w:t>Service</w:t>
      </w:r>
      <w:proofErr w:type="spellEnd"/>
      <w:r>
        <w:t xml:space="preserve"> vznikla v roce 2014 v rámci celkové reformy státní správy prováděné vládou Davida </w:t>
      </w:r>
      <w:proofErr w:type="spellStart"/>
      <w:r>
        <w:t>Camerona</w:t>
      </w:r>
      <w:proofErr w:type="spellEnd"/>
      <w:r>
        <w:t xml:space="preserve">, a to sloučením pracoviště, které zajišťovalo centrální nákup pro britskou vládu (tzv. </w:t>
      </w:r>
      <w:proofErr w:type="spellStart"/>
      <w:r w:rsidRPr="009D0B7A">
        <w:rPr>
          <w:i/>
        </w:rPr>
        <w:t>Government</w:t>
      </w:r>
      <w:proofErr w:type="spellEnd"/>
      <w:r w:rsidRPr="009D0B7A">
        <w:rPr>
          <w:i/>
        </w:rPr>
        <w:t xml:space="preserve"> </w:t>
      </w:r>
      <w:proofErr w:type="spellStart"/>
      <w:r w:rsidRPr="009D0B7A">
        <w:rPr>
          <w:i/>
        </w:rPr>
        <w:t>Procurement</w:t>
      </w:r>
      <w:proofErr w:type="spellEnd"/>
      <w:r w:rsidRPr="009D0B7A">
        <w:rPr>
          <w:i/>
        </w:rPr>
        <w:t xml:space="preserve"> </w:t>
      </w:r>
      <w:proofErr w:type="spellStart"/>
      <w:r w:rsidRPr="009D0B7A">
        <w:rPr>
          <w:i/>
        </w:rPr>
        <w:t>Service</w:t>
      </w:r>
      <w:proofErr w:type="spellEnd"/>
      <w:r>
        <w:t>), a odborů jednotlivých ministerstev zabezpečujících autonomní zakázky. Došlo tak k centralizaci agendy nákupu pro celou centrální státní správu.</w:t>
      </w:r>
    </w:p>
    <w:p w:rsidR="005433DF" w:rsidRDefault="005433DF" w:rsidP="00817955">
      <w:proofErr w:type="spellStart"/>
      <w:r w:rsidRPr="00023562">
        <w:rPr>
          <w:i/>
        </w:rPr>
        <w:t>Crown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Commercial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Service</w:t>
      </w:r>
      <w:proofErr w:type="spellEnd"/>
      <w:r>
        <w:t xml:space="preserve"> poskytuje komplexní služby úřadům britské centrální vlády a jejím přidruženým organizacím</w:t>
      </w:r>
      <w:r w:rsidR="00450DEC">
        <w:t xml:space="preserve">, a to včetně provozu elektronických nákupních systémů (dynamický nákupní systém </w:t>
      </w:r>
      <w:proofErr w:type="spellStart"/>
      <w:r w:rsidR="00450DEC">
        <w:t>eMarketplace</w:t>
      </w:r>
      <w:proofErr w:type="spellEnd"/>
      <w:r w:rsidR="00450DEC">
        <w:t xml:space="preserve"> a </w:t>
      </w:r>
      <w:proofErr w:type="spellStart"/>
      <w:r w:rsidR="00450DEC">
        <w:t>eSourcing</w:t>
      </w:r>
      <w:proofErr w:type="spellEnd"/>
      <w:r w:rsidR="00450DEC">
        <w:t xml:space="preserve"> </w:t>
      </w:r>
      <w:proofErr w:type="spellStart"/>
      <w:r w:rsidR="00450DEC">
        <w:t>Tool</w:t>
      </w:r>
      <w:proofErr w:type="spellEnd"/>
      <w:r w:rsidR="00450DEC">
        <w:t>).</w:t>
      </w:r>
      <w:r>
        <w:t xml:space="preserve"> Způsob nákupu je uskutečňován na základě</w:t>
      </w:r>
      <w:r w:rsidR="00EC075F">
        <w:t xml:space="preserve"> zákona o veřejných zakázkách.</w:t>
      </w:r>
      <w:r>
        <w:t xml:space="preserve"> K činnosti instituce se řadí také provozování elektronických systémů nákupu</w:t>
      </w:r>
      <w:r w:rsidR="00450DEC">
        <w:t>.</w:t>
      </w:r>
    </w:p>
    <w:p w:rsidR="005433DF" w:rsidRDefault="005433DF" w:rsidP="00817955">
      <w:r>
        <w:t>Nabízený sortiment zboží a služeb pro státní správu obsahuje v současné době tyto kategorie:</w:t>
      </w:r>
    </w:p>
    <w:p w:rsidR="005433DF" w:rsidRDefault="005433DF" w:rsidP="00817955">
      <w:pPr>
        <w:pStyle w:val="Odstavecseseznamem"/>
        <w:numPr>
          <w:ilvl w:val="0"/>
          <w:numId w:val="11"/>
        </w:numPr>
      </w:pPr>
      <w:r>
        <w:t>Komunikace (reklama, PR poradenství aj.)</w:t>
      </w:r>
      <w:r w:rsidR="008C66DB">
        <w:t>;</w:t>
      </w:r>
    </w:p>
    <w:p w:rsidR="005433DF" w:rsidRDefault="005433DF" w:rsidP="00817955">
      <w:pPr>
        <w:pStyle w:val="Odstavecseseznamem"/>
        <w:numPr>
          <w:ilvl w:val="0"/>
          <w:numId w:val="11"/>
        </w:numPr>
      </w:pPr>
      <w:r>
        <w:t>Konstrukce (stavební materiály, projektový management, modulární budovy)</w:t>
      </w:r>
      <w:r w:rsidR="008C66DB">
        <w:t>;</w:t>
      </w:r>
    </w:p>
    <w:p w:rsidR="005433DF" w:rsidRDefault="005433DF" w:rsidP="00817955">
      <w:pPr>
        <w:pStyle w:val="Odstavecseseznamem"/>
        <w:numPr>
          <w:ilvl w:val="0"/>
          <w:numId w:val="11"/>
        </w:numPr>
      </w:pPr>
      <w:r>
        <w:t>Energie (elektřina, plyn, tekutá paliva)</w:t>
      </w:r>
      <w:r w:rsidR="008C66DB">
        <w:t>;</w:t>
      </w:r>
    </w:p>
    <w:p w:rsidR="005433DF" w:rsidRDefault="005433DF" w:rsidP="00817955">
      <w:pPr>
        <w:pStyle w:val="Odstavecseseznamem"/>
        <w:numPr>
          <w:ilvl w:val="0"/>
          <w:numId w:val="11"/>
        </w:numPr>
      </w:pPr>
      <w:r w:rsidRPr="001F4E11">
        <w:rPr>
          <w:lang w:val="en-US"/>
        </w:rPr>
        <w:t>Facility</w:t>
      </w:r>
      <w:r w:rsidR="008C66DB">
        <w:t xml:space="preserve"> Management;</w:t>
      </w:r>
    </w:p>
    <w:p w:rsidR="005433DF" w:rsidRDefault="005433DF" w:rsidP="00817955">
      <w:pPr>
        <w:pStyle w:val="Odstavecseseznamem"/>
        <w:numPr>
          <w:ilvl w:val="0"/>
          <w:numId w:val="11"/>
        </w:numPr>
      </w:pPr>
      <w:r>
        <w:t>Vozový park (pronájem, nákup)</w:t>
      </w:r>
      <w:r w:rsidR="008C66DB">
        <w:t>;</w:t>
      </w:r>
    </w:p>
    <w:p w:rsidR="005433DF" w:rsidRDefault="005433DF" w:rsidP="00817955">
      <w:pPr>
        <w:pStyle w:val="Odstavecseseznamem"/>
        <w:numPr>
          <w:ilvl w:val="0"/>
          <w:numId w:val="11"/>
        </w:numPr>
        <w:ind w:left="714" w:hanging="357"/>
      </w:pPr>
      <w:r>
        <w:t>ICT (software, hardware, telekomunikace)</w:t>
      </w:r>
      <w:r w:rsidR="008C66DB">
        <w:t>;</w:t>
      </w:r>
    </w:p>
    <w:p w:rsidR="005433DF" w:rsidRDefault="005433DF" w:rsidP="00817955">
      <w:pPr>
        <w:pStyle w:val="Odstavecseseznamem"/>
        <w:numPr>
          <w:ilvl w:val="0"/>
          <w:numId w:val="11"/>
        </w:numPr>
      </w:pPr>
      <w:r>
        <w:t>Rozvoj a výuka (</w:t>
      </w:r>
      <w:proofErr w:type="spellStart"/>
      <w:r>
        <w:t>eLearning</w:t>
      </w:r>
      <w:proofErr w:type="spellEnd"/>
      <w:r>
        <w:t>, kurzy, poradenské služby v oblasti vzdělávání)</w:t>
      </w:r>
      <w:r w:rsidR="008C66DB">
        <w:t>;</w:t>
      </w:r>
    </w:p>
    <w:p w:rsidR="005433DF" w:rsidRDefault="005433DF" w:rsidP="00817955">
      <w:pPr>
        <w:pStyle w:val="Odstavecseseznamem"/>
        <w:numPr>
          <w:ilvl w:val="0"/>
          <w:numId w:val="11"/>
        </w:numPr>
      </w:pPr>
      <w:r>
        <w:t>Kancelářské potřeby</w:t>
      </w:r>
      <w:r w:rsidR="008C66DB">
        <w:t>;</w:t>
      </w:r>
    </w:p>
    <w:p w:rsidR="005433DF" w:rsidRDefault="005433DF" w:rsidP="00817955">
      <w:pPr>
        <w:pStyle w:val="Odstavecseseznamem"/>
        <w:numPr>
          <w:ilvl w:val="0"/>
          <w:numId w:val="11"/>
        </w:numPr>
      </w:pPr>
      <w:r>
        <w:t>Tisk (tiskařské služby, papíry, obálky, listovní služby)</w:t>
      </w:r>
      <w:r w:rsidR="008C66DB">
        <w:t>;</w:t>
      </w:r>
    </w:p>
    <w:p w:rsidR="005433DF" w:rsidRDefault="005433DF" w:rsidP="00817955">
      <w:pPr>
        <w:pStyle w:val="Odstavecseseznamem"/>
        <w:numPr>
          <w:ilvl w:val="0"/>
          <w:numId w:val="11"/>
        </w:numPr>
      </w:pPr>
      <w:r>
        <w:t>Služby (poradenství, krátkodobé zaměstnávání odborných pracovníků, právní služby)</w:t>
      </w:r>
      <w:r w:rsidR="008C66DB">
        <w:t>;</w:t>
      </w:r>
    </w:p>
    <w:p w:rsidR="005433DF" w:rsidRDefault="005433DF" w:rsidP="00817955">
      <w:pPr>
        <w:pStyle w:val="Odstavecseseznamem"/>
        <w:numPr>
          <w:ilvl w:val="0"/>
          <w:numId w:val="11"/>
        </w:numPr>
      </w:pPr>
      <w:r>
        <w:t>Výzkum (vypracovávání studií – v současné době v přípravě)</w:t>
      </w:r>
      <w:r w:rsidR="008C66DB">
        <w:t>;</w:t>
      </w:r>
    </w:p>
    <w:p w:rsidR="005433DF" w:rsidRDefault="005433DF" w:rsidP="00817955">
      <w:pPr>
        <w:pStyle w:val="Odstavecseseznamem"/>
        <w:numPr>
          <w:ilvl w:val="0"/>
          <w:numId w:val="11"/>
        </w:numPr>
      </w:pPr>
      <w:r>
        <w:t>Mobilita (letenky, jízdenky na vlak, ubytování apod.)</w:t>
      </w:r>
      <w:r w:rsidR="008C66DB">
        <w:t>.</w:t>
      </w:r>
    </w:p>
    <w:p w:rsidR="005433DF" w:rsidRDefault="005433DF" w:rsidP="00817955">
      <w:r>
        <w:lastRenderedPageBreak/>
        <w:t xml:space="preserve">Zakázky uskutečňované </w:t>
      </w:r>
      <w:r w:rsidR="00450DEC">
        <w:t xml:space="preserve">prostřednictvím </w:t>
      </w:r>
      <w:proofErr w:type="spellStart"/>
      <w:r w:rsidRPr="00023562">
        <w:rPr>
          <w:i/>
        </w:rPr>
        <w:t>Crown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Commercial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Service</w:t>
      </w:r>
      <w:proofErr w:type="spellEnd"/>
      <w:r>
        <w:t xml:space="preserve"> jsou zveřejňovány pro </w:t>
      </w:r>
      <w:r w:rsidR="00450DEC">
        <w:t>potenciální uchazeče</w:t>
      </w:r>
      <w:r>
        <w:t xml:space="preserve"> čtyřmi způsoby:</w:t>
      </w:r>
    </w:p>
    <w:p w:rsidR="005433DF" w:rsidRDefault="005433DF" w:rsidP="00817955">
      <w:pPr>
        <w:pStyle w:val="Odstavecseseznamem"/>
        <w:numPr>
          <w:ilvl w:val="0"/>
          <w:numId w:val="12"/>
        </w:numPr>
      </w:pPr>
      <w:r>
        <w:t>Úřední věstník EU TED (v případě, že se jedná o tender s cenou přesahující prahovou hodnotu určenou v Nařízení Komise (EU) č. 1336/2013)</w:t>
      </w:r>
      <w:r w:rsidR="008C66DB">
        <w:rPr>
          <w:rStyle w:val="Znakapoznpodarou"/>
        </w:rPr>
        <w:footnoteReference w:id="12"/>
      </w:r>
      <w:r w:rsidR="000D5809">
        <w:t>;</w:t>
      </w:r>
    </w:p>
    <w:p w:rsidR="005433DF" w:rsidRDefault="005433DF" w:rsidP="00817955">
      <w:pPr>
        <w:pStyle w:val="Odstavecseseznamem"/>
        <w:numPr>
          <w:ilvl w:val="0"/>
          <w:numId w:val="12"/>
        </w:numPr>
        <w:rPr>
          <w:rStyle w:val="st"/>
        </w:rPr>
      </w:pPr>
      <w:r>
        <w:t xml:space="preserve">Databáze </w:t>
      </w:r>
      <w:proofErr w:type="spellStart"/>
      <w:r w:rsidRPr="00023562">
        <w:rPr>
          <w:i/>
        </w:rPr>
        <w:t>Contracts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Finder</w:t>
      </w:r>
      <w:proofErr w:type="spellEnd"/>
      <w:r>
        <w:t xml:space="preserve"> (pokud hodnota zakázky přesáhne 10</w:t>
      </w:r>
      <w:r w:rsidR="002A6D4D">
        <w:t> </w:t>
      </w:r>
      <w:r>
        <w:t>000</w:t>
      </w:r>
      <w:r w:rsidR="002A6D4D">
        <w:t xml:space="preserve"> </w:t>
      </w:r>
      <w:r w:rsidR="008C66DB">
        <w:rPr>
          <w:rStyle w:val="st"/>
        </w:rPr>
        <w:t>liber</w:t>
      </w:r>
      <w:r>
        <w:rPr>
          <w:rStyle w:val="st"/>
        </w:rPr>
        <w:t>)</w:t>
      </w:r>
      <w:r w:rsidR="000D5809">
        <w:rPr>
          <w:rStyle w:val="st"/>
        </w:rPr>
        <w:t>;</w:t>
      </w:r>
    </w:p>
    <w:p w:rsidR="005433DF" w:rsidRDefault="005433DF" w:rsidP="00817955">
      <w:pPr>
        <w:pStyle w:val="Odstavecseseznamem"/>
        <w:numPr>
          <w:ilvl w:val="0"/>
          <w:numId w:val="12"/>
        </w:numPr>
        <w:rPr>
          <w:rStyle w:val="st"/>
        </w:rPr>
      </w:pPr>
      <w:proofErr w:type="spellStart"/>
      <w:r>
        <w:rPr>
          <w:rStyle w:val="st"/>
        </w:rPr>
        <w:t>eMarketplace</w:t>
      </w:r>
      <w:proofErr w:type="spellEnd"/>
      <w:r>
        <w:rPr>
          <w:rStyle w:val="st"/>
        </w:rPr>
        <w:t xml:space="preserve"> (dynamický nákupní systém pro běžné zboží a služby + katalog rámcových smluv)</w:t>
      </w:r>
      <w:r w:rsidR="000D5809">
        <w:rPr>
          <w:rStyle w:val="st"/>
        </w:rPr>
        <w:t>;</w:t>
      </w:r>
    </w:p>
    <w:p w:rsidR="005433DF" w:rsidRPr="009119C4" w:rsidRDefault="005433DF" w:rsidP="00817955">
      <w:pPr>
        <w:pStyle w:val="Odstavecseseznamem"/>
        <w:numPr>
          <w:ilvl w:val="0"/>
          <w:numId w:val="12"/>
        </w:numPr>
        <w:rPr>
          <w:rStyle w:val="st"/>
        </w:rPr>
      </w:pPr>
      <w:proofErr w:type="spellStart"/>
      <w:r>
        <w:rPr>
          <w:rStyle w:val="st"/>
        </w:rPr>
        <w:t>eSourcing</w:t>
      </w:r>
      <w:proofErr w:type="spellEnd"/>
      <w:r>
        <w:rPr>
          <w:rStyle w:val="st"/>
        </w:rPr>
        <w:t xml:space="preserve"> </w:t>
      </w:r>
      <w:proofErr w:type="spellStart"/>
      <w:r>
        <w:rPr>
          <w:rStyle w:val="st"/>
        </w:rPr>
        <w:t>Tool</w:t>
      </w:r>
      <w:proofErr w:type="spellEnd"/>
      <w:r>
        <w:rPr>
          <w:rStyle w:val="st"/>
        </w:rPr>
        <w:t xml:space="preserve"> (elektronický systém na soutěžení jednorázových tendrů a rámcových smluv)</w:t>
      </w:r>
      <w:r w:rsidR="000D5809">
        <w:rPr>
          <w:rStyle w:val="st"/>
        </w:rPr>
        <w:t>.</w:t>
      </w:r>
    </w:p>
    <w:p w:rsidR="005433DF" w:rsidRPr="00F04948" w:rsidRDefault="005433DF" w:rsidP="00817955">
      <w:r>
        <w:t>Dle nařízení vlády musí všechny vládní úřady a její příspěvkové organizace zveřejňovat bezplatně smlouvy nad 10</w:t>
      </w:r>
      <w:r w:rsidR="002A6D4D">
        <w:t> </w:t>
      </w:r>
      <w:r>
        <w:t>000</w:t>
      </w:r>
      <w:r w:rsidR="002A6D4D">
        <w:t xml:space="preserve"> </w:t>
      </w:r>
      <w:r w:rsidR="008C66DB">
        <w:t>liber</w:t>
      </w:r>
      <w:r w:rsidR="008454EA">
        <w:t>, a to v rámci centrálně vytvořené databáze</w:t>
      </w:r>
      <w:r w:rsidR="008454EA">
        <w:rPr>
          <w:rStyle w:val="Znakapoznpodarou"/>
        </w:rPr>
        <w:footnoteReference w:id="13"/>
      </w:r>
      <w:r w:rsidR="00450DEC">
        <w:t>.</w:t>
      </w:r>
      <w:r>
        <w:t xml:space="preserve"> </w:t>
      </w:r>
    </w:p>
    <w:p w:rsidR="005433DF" w:rsidRDefault="005433DF" w:rsidP="00817955">
      <w:pPr>
        <w:pStyle w:val="Nadpis2"/>
      </w:pPr>
      <w:bookmarkStart w:id="47" w:name="_Toc401229437"/>
      <w:bookmarkStart w:id="48" w:name="_Toc402536869"/>
      <w:bookmarkStart w:id="49" w:name="_Toc401683617"/>
      <w:bookmarkStart w:id="50" w:name="_Toc407612393"/>
      <w:bookmarkStart w:id="51" w:name="_Toc411520438"/>
      <w:r>
        <w:t xml:space="preserve">Způsob nákupu pomocí </w:t>
      </w:r>
      <w:proofErr w:type="spellStart"/>
      <w:r>
        <w:t>Crown</w:t>
      </w:r>
      <w:proofErr w:type="spellEnd"/>
      <w:r>
        <w:t xml:space="preserve"> </w:t>
      </w:r>
      <w:proofErr w:type="spellStart"/>
      <w:r>
        <w:t>Commercial</w:t>
      </w:r>
      <w:proofErr w:type="spellEnd"/>
      <w:r>
        <w:t xml:space="preserve"> </w:t>
      </w:r>
      <w:proofErr w:type="spellStart"/>
      <w:r>
        <w:t>Service</w:t>
      </w:r>
      <w:bookmarkEnd w:id="47"/>
      <w:bookmarkEnd w:id="48"/>
      <w:bookmarkEnd w:id="49"/>
      <w:bookmarkEnd w:id="50"/>
      <w:bookmarkEnd w:id="51"/>
      <w:proofErr w:type="spellEnd"/>
    </w:p>
    <w:p w:rsidR="005433DF" w:rsidRDefault="005433DF" w:rsidP="00817955">
      <w:pPr>
        <w:pStyle w:val="Nadpis3"/>
      </w:pPr>
      <w:bookmarkStart w:id="52" w:name="_Toc401229438"/>
      <w:bookmarkStart w:id="53" w:name="_Toc402536870"/>
      <w:bookmarkStart w:id="54" w:name="_Toc401683618"/>
      <w:bookmarkStart w:id="55" w:name="_Toc407612394"/>
      <w:bookmarkStart w:id="56" w:name="_Toc411520439"/>
      <w:proofErr w:type="spellStart"/>
      <w:r>
        <w:t>Self</w:t>
      </w:r>
      <w:proofErr w:type="spellEnd"/>
      <w:r>
        <w:t xml:space="preserve"> </w:t>
      </w:r>
      <w:proofErr w:type="spellStart"/>
      <w:r>
        <w:t>Service</w:t>
      </w:r>
      <w:bookmarkEnd w:id="52"/>
      <w:bookmarkEnd w:id="53"/>
      <w:bookmarkEnd w:id="54"/>
      <w:bookmarkEnd w:id="55"/>
      <w:bookmarkEnd w:id="56"/>
      <w:proofErr w:type="spellEnd"/>
    </w:p>
    <w:p w:rsidR="005433DF" w:rsidRDefault="005433DF" w:rsidP="00817955">
      <w:proofErr w:type="spellStart"/>
      <w:r>
        <w:t>Self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je samoobslužný systém nákupu, který probíhá bez jakékoliv asistence zaměstnanců </w:t>
      </w:r>
      <w:proofErr w:type="spellStart"/>
      <w:r w:rsidRPr="00023562">
        <w:rPr>
          <w:i/>
        </w:rPr>
        <w:t>Crown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Commercial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Service</w:t>
      </w:r>
      <w:proofErr w:type="spellEnd"/>
      <w:r>
        <w:t>. Státní úřady ho mohou využívat třemi způsoby:</w:t>
      </w:r>
    </w:p>
    <w:p w:rsidR="005433DF" w:rsidRDefault="005433DF" w:rsidP="00817955">
      <w:pPr>
        <w:pStyle w:val="Odstavecseseznamem"/>
        <w:numPr>
          <w:ilvl w:val="0"/>
          <w:numId w:val="13"/>
        </w:numPr>
      </w:pPr>
      <w:r>
        <w:t xml:space="preserve">Státní instituce využijí </w:t>
      </w:r>
      <w:r w:rsidRPr="0094166B">
        <w:rPr>
          <w:b/>
        </w:rPr>
        <w:t>předjednanou rámcovou smlouvu</w:t>
      </w:r>
      <w:r w:rsidRPr="0094166B">
        <w:t xml:space="preserve">. </w:t>
      </w:r>
      <w:r w:rsidR="007E20BA">
        <w:t>Pro danou komoditu bývají r</w:t>
      </w:r>
      <w:r>
        <w:t>ámcové smlouvy uzavírány s </w:t>
      </w:r>
      <w:r w:rsidR="007E20BA">
        <w:t xml:space="preserve">více </w:t>
      </w:r>
      <w:r>
        <w:t xml:space="preserve">dodavateli. </w:t>
      </w:r>
      <w:r w:rsidR="00607C54">
        <w:t>Výjimečně může být</w:t>
      </w:r>
      <w:r>
        <w:t xml:space="preserve"> pro daný typ zboží smlouva uzavřena s jednou firmou. </w:t>
      </w:r>
      <w:r w:rsidR="00607C54">
        <w:t>R</w:t>
      </w:r>
      <w:r>
        <w:t xml:space="preserve">ámcové smlouvy </w:t>
      </w:r>
      <w:r w:rsidR="007E20BA">
        <w:t xml:space="preserve">jsou </w:t>
      </w:r>
      <w:r w:rsidR="00607C54">
        <w:t xml:space="preserve">pak </w:t>
      </w:r>
      <w:r w:rsidR="007E20BA">
        <w:t>evidovány</w:t>
      </w:r>
      <w:r>
        <w:t xml:space="preserve"> v elektronickém systému </w:t>
      </w:r>
      <w:proofErr w:type="spellStart"/>
      <w:r>
        <w:t>eMarketplace</w:t>
      </w:r>
      <w:proofErr w:type="spellEnd"/>
      <w:r>
        <w:t>.</w:t>
      </w:r>
    </w:p>
    <w:p w:rsidR="005433DF" w:rsidRDefault="005433DF" w:rsidP="00817955">
      <w:pPr>
        <w:pStyle w:val="Odstavecseseznamem"/>
        <w:numPr>
          <w:ilvl w:val="0"/>
          <w:numId w:val="13"/>
        </w:numPr>
      </w:pPr>
      <w:r>
        <w:t xml:space="preserve">Státní organizace nakupují pomocí </w:t>
      </w:r>
      <w:proofErr w:type="spellStart"/>
      <w:r>
        <w:rPr>
          <w:b/>
        </w:rPr>
        <w:t>Request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quote</w:t>
      </w:r>
      <w:proofErr w:type="spellEnd"/>
      <w:r>
        <w:rPr>
          <w:b/>
        </w:rPr>
        <w:t xml:space="preserve"> </w:t>
      </w:r>
      <w:r>
        <w:t xml:space="preserve">přes dynamický nákupní systém </w:t>
      </w:r>
      <w:proofErr w:type="spellStart"/>
      <w:r>
        <w:t>eMarketpace</w:t>
      </w:r>
      <w:proofErr w:type="spellEnd"/>
      <w:r>
        <w:t xml:space="preserve">. </w:t>
      </w:r>
      <w:r w:rsidR="000A26E7">
        <w:t>Nejprve</w:t>
      </w:r>
      <w:r>
        <w:t xml:space="preserve"> instituce zadají do systému požadavek na dodávku nekomplexního zboží či služby. Systém odešle požadavek příslušným dodavatelům, kteří následně podají nabídku. </w:t>
      </w:r>
      <w:r w:rsidR="000A26E7">
        <w:t xml:space="preserve">Ze zaslaných nabídek následně vybere </w:t>
      </w:r>
      <w:r>
        <w:t>příslušná instituce tu nejlepší.</w:t>
      </w:r>
    </w:p>
    <w:p w:rsidR="005433DF" w:rsidRDefault="005433DF" w:rsidP="00817955">
      <w:pPr>
        <w:pStyle w:val="Odstavecseseznamem"/>
        <w:numPr>
          <w:ilvl w:val="0"/>
          <w:numId w:val="13"/>
        </w:numPr>
      </w:pPr>
      <w:r>
        <w:t xml:space="preserve">Poslední možností je nákup na základě uzavřených </w:t>
      </w:r>
      <w:r>
        <w:rPr>
          <w:b/>
        </w:rPr>
        <w:t>memorand porozumění</w:t>
      </w:r>
      <w:r>
        <w:t>. Jedná se o slevy dojednané s velkými firmami</w:t>
      </w:r>
      <w:r w:rsidR="000A26E7">
        <w:t xml:space="preserve"> (např. </w:t>
      </w:r>
      <w:r>
        <w:t xml:space="preserve">Microsoft, SAP, </w:t>
      </w:r>
      <w:proofErr w:type="spellStart"/>
      <w:r>
        <w:t>Oracle</w:t>
      </w:r>
      <w:proofErr w:type="spellEnd"/>
      <w:r>
        <w:t xml:space="preserve"> či </w:t>
      </w:r>
      <w:proofErr w:type="spellStart"/>
      <w:r>
        <w:t>Northgate</w:t>
      </w:r>
      <w:proofErr w:type="spellEnd"/>
      <w:r w:rsidR="000A26E7">
        <w:t>)</w:t>
      </w:r>
      <w:r>
        <w:t xml:space="preserve">. </w:t>
      </w:r>
    </w:p>
    <w:p w:rsidR="005433DF" w:rsidRDefault="005433DF" w:rsidP="00817955">
      <w:pPr>
        <w:pStyle w:val="Nadpis3"/>
      </w:pPr>
      <w:bookmarkStart w:id="57" w:name="_Toc401229439"/>
      <w:bookmarkStart w:id="58" w:name="_Toc402536871"/>
      <w:bookmarkStart w:id="59" w:name="_Toc401683619"/>
      <w:bookmarkStart w:id="60" w:name="_Toc407612395"/>
      <w:bookmarkStart w:id="61" w:name="_Toc411520440"/>
      <w:r>
        <w:t>E-aukce</w:t>
      </w:r>
      <w:bookmarkEnd w:id="57"/>
      <w:bookmarkEnd w:id="58"/>
      <w:bookmarkEnd w:id="59"/>
      <w:bookmarkEnd w:id="60"/>
      <w:bookmarkEnd w:id="61"/>
    </w:p>
    <w:p w:rsidR="005433DF" w:rsidRDefault="005433DF" w:rsidP="00817955">
      <w:r>
        <w:t xml:space="preserve">E-aukce jsou vhodné pro specifické nákupy, které </w:t>
      </w:r>
      <w:r w:rsidR="000A26E7">
        <w:t xml:space="preserve">nelze </w:t>
      </w:r>
      <w:r>
        <w:t xml:space="preserve">uskutečnit </w:t>
      </w:r>
      <w:r w:rsidR="000A26E7">
        <w:t xml:space="preserve">prostřednictvím </w:t>
      </w:r>
      <w:proofErr w:type="spellStart"/>
      <w:r>
        <w:t>Self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. Aukce probíhají plně za asistence zaměstnanců </w:t>
      </w:r>
      <w:proofErr w:type="spellStart"/>
      <w:r w:rsidRPr="00023562">
        <w:rPr>
          <w:i/>
        </w:rPr>
        <w:t>Crown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Commercial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Sevice</w:t>
      </w:r>
      <w:proofErr w:type="spellEnd"/>
      <w:r w:rsidR="000A26E7">
        <w:t>, kteří poskytují podporu</w:t>
      </w:r>
      <w:r w:rsidR="000D5809">
        <w:t xml:space="preserve"> </w:t>
      </w:r>
      <w:r>
        <w:t xml:space="preserve">jak s přípravou aukce, tak i s jejím </w:t>
      </w:r>
      <w:r w:rsidR="000D5809">
        <w:t>průběhem</w:t>
      </w:r>
      <w:r>
        <w:t xml:space="preserve">. </w:t>
      </w:r>
      <w:r w:rsidR="000D5809">
        <w:t>Jsou využívány</w:t>
      </w:r>
      <w:r>
        <w:t xml:space="preserve"> dva typy aukcí – </w:t>
      </w:r>
      <w:r w:rsidRPr="00023562">
        <w:rPr>
          <w:i/>
        </w:rPr>
        <w:t>reverse</w:t>
      </w:r>
      <w:r>
        <w:t xml:space="preserve"> (pokud instituce kupuje zboží) a</w:t>
      </w:r>
      <w:r w:rsidR="002A6D4D">
        <w:t> </w:t>
      </w:r>
      <w:r w:rsidRPr="00023562">
        <w:rPr>
          <w:i/>
        </w:rPr>
        <w:t>forward</w:t>
      </w:r>
      <w:r>
        <w:t xml:space="preserve"> (pokud instituce prodává svůj majetek). Aukci lze uspořádat na téměř jakoukoliv komoditu. </w:t>
      </w:r>
      <w:proofErr w:type="spellStart"/>
      <w:r w:rsidRPr="00023562">
        <w:rPr>
          <w:i/>
        </w:rPr>
        <w:t>Crown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Commercial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Service</w:t>
      </w:r>
      <w:proofErr w:type="spellEnd"/>
      <w:r>
        <w:t xml:space="preserve"> </w:t>
      </w:r>
      <w:r w:rsidR="000D5809">
        <w:t xml:space="preserve">sama zajišťuje </w:t>
      </w:r>
      <w:r>
        <w:t xml:space="preserve">aukci </w:t>
      </w:r>
      <w:r w:rsidR="000D5809">
        <w:t xml:space="preserve">na </w:t>
      </w:r>
      <w:r>
        <w:t>tř</w:t>
      </w:r>
      <w:r w:rsidR="000D5809">
        <w:t>i</w:t>
      </w:r>
      <w:r>
        <w:t xml:space="preserve"> </w:t>
      </w:r>
      <w:r w:rsidR="000D5809">
        <w:t>komodity</w:t>
      </w:r>
      <w:r>
        <w:t xml:space="preserve">: </w:t>
      </w:r>
    </w:p>
    <w:p w:rsidR="005433DF" w:rsidRDefault="000D5809" w:rsidP="00817955">
      <w:pPr>
        <w:pStyle w:val="Odstavecseseznamem"/>
        <w:numPr>
          <w:ilvl w:val="0"/>
          <w:numId w:val="14"/>
        </w:numPr>
      </w:pPr>
      <w:r>
        <w:t xml:space="preserve">Vozový </w:t>
      </w:r>
      <w:r w:rsidR="005433DF">
        <w:t>park</w:t>
      </w:r>
      <w:r>
        <w:t>;</w:t>
      </w:r>
    </w:p>
    <w:p w:rsidR="005433DF" w:rsidRDefault="005433DF" w:rsidP="00817955">
      <w:pPr>
        <w:pStyle w:val="Odstavecseseznamem"/>
        <w:numPr>
          <w:ilvl w:val="0"/>
          <w:numId w:val="14"/>
        </w:numPr>
      </w:pPr>
      <w:r>
        <w:t>Telekomunikační služb</w:t>
      </w:r>
      <w:r w:rsidR="000D5809">
        <w:t>y;</w:t>
      </w:r>
    </w:p>
    <w:p w:rsidR="005433DF" w:rsidRDefault="005433DF" w:rsidP="00817955">
      <w:pPr>
        <w:pStyle w:val="Odstavecseseznamem"/>
        <w:numPr>
          <w:ilvl w:val="0"/>
          <w:numId w:val="14"/>
        </w:numPr>
      </w:pPr>
      <w:r>
        <w:t>Emisní povolen</w:t>
      </w:r>
      <w:r w:rsidR="000D5809">
        <w:t>ky.</w:t>
      </w:r>
    </w:p>
    <w:p w:rsidR="005433DF" w:rsidRDefault="005433DF" w:rsidP="00817955">
      <w:pPr>
        <w:pStyle w:val="Nadpis3"/>
      </w:pPr>
      <w:bookmarkStart w:id="62" w:name="_Toc401229440"/>
      <w:bookmarkStart w:id="63" w:name="_Toc402536872"/>
      <w:bookmarkStart w:id="64" w:name="_Toc401683620"/>
      <w:bookmarkStart w:id="65" w:name="_Toc407612396"/>
      <w:bookmarkStart w:id="66" w:name="_Toc411520441"/>
      <w:r>
        <w:t xml:space="preserve">Spot </w:t>
      </w:r>
      <w:proofErr w:type="spellStart"/>
      <w:r>
        <w:t>buying</w:t>
      </w:r>
      <w:bookmarkEnd w:id="62"/>
      <w:bookmarkEnd w:id="63"/>
      <w:bookmarkEnd w:id="64"/>
      <w:bookmarkEnd w:id="65"/>
      <w:bookmarkEnd w:id="66"/>
      <w:proofErr w:type="spellEnd"/>
    </w:p>
    <w:p w:rsidR="005F68D7" w:rsidRDefault="005433DF" w:rsidP="00817955">
      <w:r>
        <w:t xml:space="preserve">Tento způsob nákupu se používá pro specifické jednorázové zakázky veřejného sektoru, které nepřesáhnou prahové hodnoty </w:t>
      </w:r>
      <w:r w:rsidR="00060989">
        <w:t>stanovené</w:t>
      </w:r>
      <w:r>
        <w:t xml:space="preserve"> Nařízením Komise (EU) č. 1336/2013. </w:t>
      </w:r>
    </w:p>
    <w:p w:rsidR="005433DF" w:rsidRDefault="005F68D7" w:rsidP="00817955">
      <w:r>
        <w:t>Postup je nastaven tak, že s</w:t>
      </w:r>
      <w:r w:rsidR="005433DF">
        <w:t xml:space="preserve">tátní instituce </w:t>
      </w:r>
      <w:r>
        <w:t xml:space="preserve">nejprve zašle </w:t>
      </w:r>
      <w:proofErr w:type="spellStart"/>
      <w:r w:rsidRPr="00CB5F96">
        <w:rPr>
          <w:i/>
        </w:rPr>
        <w:t>Crown</w:t>
      </w:r>
      <w:proofErr w:type="spellEnd"/>
      <w:r w:rsidRPr="00CB5F96">
        <w:rPr>
          <w:i/>
        </w:rPr>
        <w:t xml:space="preserve"> </w:t>
      </w:r>
      <w:proofErr w:type="spellStart"/>
      <w:r w:rsidRPr="00CB5F96">
        <w:rPr>
          <w:i/>
        </w:rPr>
        <w:t>Commercial</w:t>
      </w:r>
      <w:proofErr w:type="spellEnd"/>
      <w:r w:rsidRPr="00CB5F96">
        <w:rPr>
          <w:i/>
        </w:rPr>
        <w:t xml:space="preserve"> </w:t>
      </w:r>
      <w:proofErr w:type="spellStart"/>
      <w:r w:rsidRPr="00CB5F96">
        <w:rPr>
          <w:i/>
        </w:rPr>
        <w:t>Service</w:t>
      </w:r>
      <w:proofErr w:type="spellEnd"/>
      <w:r w:rsidR="000D5809">
        <w:t xml:space="preserve"> technickou specifikaci, hodnotící kritéria</w:t>
      </w:r>
      <w:r w:rsidR="005433DF">
        <w:t xml:space="preserve"> apod.</w:t>
      </w:r>
      <w:r>
        <w:t xml:space="preserve"> Na základě těchto podkladů </w:t>
      </w:r>
      <w:proofErr w:type="spellStart"/>
      <w:r w:rsidRPr="00CB5F96">
        <w:rPr>
          <w:i/>
        </w:rPr>
        <w:t>Crown</w:t>
      </w:r>
      <w:proofErr w:type="spellEnd"/>
      <w:r w:rsidRPr="00CB5F96">
        <w:rPr>
          <w:i/>
        </w:rPr>
        <w:t xml:space="preserve"> </w:t>
      </w:r>
      <w:proofErr w:type="spellStart"/>
      <w:r w:rsidRPr="00CB5F96">
        <w:rPr>
          <w:i/>
        </w:rPr>
        <w:t>Commercial</w:t>
      </w:r>
      <w:proofErr w:type="spellEnd"/>
      <w:r w:rsidRPr="00CB5F96">
        <w:rPr>
          <w:i/>
        </w:rPr>
        <w:t xml:space="preserve"> </w:t>
      </w:r>
      <w:proofErr w:type="spellStart"/>
      <w:r w:rsidRPr="00CB5F96">
        <w:rPr>
          <w:i/>
        </w:rPr>
        <w:t>Service</w:t>
      </w:r>
      <w:proofErr w:type="spellEnd"/>
      <w:r>
        <w:t xml:space="preserve"> </w:t>
      </w:r>
      <w:r w:rsidR="005433DF">
        <w:t xml:space="preserve">zpracuje zadávací dokumentaci, vybere </w:t>
      </w:r>
      <w:r>
        <w:t xml:space="preserve">vhodný </w:t>
      </w:r>
      <w:r w:rsidR="005433DF">
        <w:t xml:space="preserve">způsob </w:t>
      </w:r>
      <w:r>
        <w:t xml:space="preserve">zadávacího řízení a celé zadávací řízení včetně výběru vítěze zrealizuje. Tato služba není bezplatná, poplatek </w:t>
      </w:r>
      <w:proofErr w:type="spellStart"/>
      <w:r w:rsidRPr="00023562">
        <w:rPr>
          <w:i/>
        </w:rPr>
        <w:t>Crown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Commercial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Service</w:t>
      </w:r>
      <w:proofErr w:type="spellEnd"/>
      <w:r>
        <w:t xml:space="preserve"> je stanoven na úrovni 1 % </w:t>
      </w:r>
      <w:r w:rsidR="005433DF">
        <w:t>z </w:t>
      </w:r>
      <w:r>
        <w:t xml:space="preserve">hodnoty </w:t>
      </w:r>
      <w:r w:rsidR="005433DF">
        <w:t xml:space="preserve">zakázky. V případě, že se jedná o zakázku s vysokou </w:t>
      </w:r>
      <w:r>
        <w:t>hodnotou</w:t>
      </w:r>
      <w:r w:rsidR="005433DF">
        <w:t xml:space="preserve">, je </w:t>
      </w:r>
      <w:r>
        <w:t xml:space="preserve">po dohodě s </w:t>
      </w:r>
      <w:proofErr w:type="spellStart"/>
      <w:r w:rsidRPr="00CB5F96">
        <w:rPr>
          <w:i/>
        </w:rPr>
        <w:t>Crown</w:t>
      </w:r>
      <w:proofErr w:type="spellEnd"/>
      <w:r w:rsidRPr="00CB5F96">
        <w:rPr>
          <w:i/>
        </w:rPr>
        <w:t xml:space="preserve"> </w:t>
      </w:r>
      <w:proofErr w:type="spellStart"/>
      <w:r w:rsidRPr="00CB5F96">
        <w:rPr>
          <w:i/>
        </w:rPr>
        <w:t>Commercial</w:t>
      </w:r>
      <w:proofErr w:type="spellEnd"/>
      <w:r w:rsidRPr="00CB5F96">
        <w:rPr>
          <w:i/>
        </w:rPr>
        <w:t xml:space="preserve"> </w:t>
      </w:r>
      <w:proofErr w:type="spellStart"/>
      <w:r w:rsidRPr="00CB5F96">
        <w:rPr>
          <w:i/>
        </w:rPr>
        <w:t>Service</w:t>
      </w:r>
      <w:proofErr w:type="spellEnd"/>
      <w:r>
        <w:t xml:space="preserve"> stanoven fixní poplatek. </w:t>
      </w:r>
    </w:p>
    <w:p w:rsidR="005433DF" w:rsidRDefault="005433DF" w:rsidP="00817955">
      <w:pPr>
        <w:pStyle w:val="Nadpis1"/>
      </w:pPr>
      <w:bookmarkStart w:id="67" w:name="_Toc401229442"/>
      <w:bookmarkStart w:id="68" w:name="_Toc402536874"/>
      <w:bookmarkStart w:id="69" w:name="_Toc401683623"/>
      <w:bookmarkStart w:id="70" w:name="_Toc407612398"/>
      <w:bookmarkStart w:id="71" w:name="_Toc411520442"/>
      <w:r>
        <w:lastRenderedPageBreak/>
        <w:t>Spolková republika Německo</w:t>
      </w:r>
      <w:bookmarkEnd w:id="67"/>
      <w:bookmarkEnd w:id="68"/>
      <w:bookmarkEnd w:id="69"/>
      <w:bookmarkEnd w:id="70"/>
      <w:bookmarkEnd w:id="71"/>
    </w:p>
    <w:p w:rsidR="003278E7" w:rsidRDefault="004F2F07" w:rsidP="00817955">
      <w:r>
        <w:t>Do roku 2004 fungovalo v</w:t>
      </w:r>
      <w:r w:rsidR="005433DF">
        <w:t xml:space="preserve"> SRN na spolkové úrovni nezávisle na sobě několik centrálních zadavatelů. </w:t>
      </w:r>
      <w:r w:rsidR="00343D95">
        <w:t xml:space="preserve">Jednotlivá ministerstva tedy měla </w:t>
      </w:r>
      <w:r w:rsidR="005433DF">
        <w:t xml:space="preserve">svou vlastní organizaci, která </w:t>
      </w:r>
      <w:r w:rsidR="00343D95">
        <w:t xml:space="preserve">pro příslušný rezort a jeho podřízené instituce zajišťovala nákup </w:t>
      </w:r>
      <w:r w:rsidR="005433DF">
        <w:t>zboží a služ</w:t>
      </w:r>
      <w:r w:rsidR="00343D95">
        <w:t>e</w:t>
      </w:r>
      <w:r w:rsidR="005433DF">
        <w:t xml:space="preserve">b. </w:t>
      </w:r>
    </w:p>
    <w:p w:rsidR="005433DF" w:rsidRDefault="005433DF" w:rsidP="00817955">
      <w:r>
        <w:t xml:space="preserve">V roce 2004 ale došlo k vytvoření zastřešující platformy, tzv. </w:t>
      </w:r>
      <w:proofErr w:type="spellStart"/>
      <w:r w:rsidRPr="00023562">
        <w:rPr>
          <w:i/>
        </w:rPr>
        <w:t>Kaufhaus</w:t>
      </w:r>
      <w:proofErr w:type="spellEnd"/>
      <w:r w:rsidRPr="00023562">
        <w:rPr>
          <w:i/>
        </w:rPr>
        <w:t xml:space="preserve"> des </w:t>
      </w:r>
      <w:proofErr w:type="spellStart"/>
      <w:r w:rsidRPr="00023562">
        <w:rPr>
          <w:i/>
        </w:rPr>
        <w:t>Bundes</w:t>
      </w:r>
      <w:proofErr w:type="spellEnd"/>
      <w:r>
        <w:t xml:space="preserve"> (dále </w:t>
      </w:r>
      <w:proofErr w:type="spellStart"/>
      <w:r>
        <w:t>KdB</w:t>
      </w:r>
      <w:proofErr w:type="spellEnd"/>
      <w:r>
        <w:t>), který začal zprostředkovávat nákup zboží a služeb pro celou spolkovou státní správu.</w:t>
      </w:r>
    </w:p>
    <w:p w:rsidR="005433DF" w:rsidRDefault="005433DF" w:rsidP="00817955">
      <w:pPr>
        <w:pStyle w:val="Nadpis2"/>
      </w:pPr>
      <w:bookmarkStart w:id="72" w:name="_Toc402536875"/>
      <w:bookmarkStart w:id="73" w:name="_Toc401683624"/>
      <w:bookmarkStart w:id="74" w:name="_Toc407612399"/>
      <w:bookmarkStart w:id="75" w:name="_Toc411520443"/>
      <w:r>
        <w:t xml:space="preserve">Rozsah činnosti </w:t>
      </w:r>
      <w:proofErr w:type="spellStart"/>
      <w:r>
        <w:t>Kaufhaus</w:t>
      </w:r>
      <w:proofErr w:type="spellEnd"/>
      <w:r>
        <w:t xml:space="preserve"> des </w:t>
      </w:r>
      <w:proofErr w:type="spellStart"/>
      <w:r>
        <w:t>Bundes</w:t>
      </w:r>
      <w:bookmarkEnd w:id="72"/>
      <w:bookmarkEnd w:id="73"/>
      <w:bookmarkEnd w:id="74"/>
      <w:bookmarkEnd w:id="75"/>
      <w:proofErr w:type="spellEnd"/>
    </w:p>
    <w:p w:rsidR="00916C3B" w:rsidRDefault="005433DF" w:rsidP="00817955">
      <w:proofErr w:type="spellStart"/>
      <w:r>
        <w:t>KdB</w:t>
      </w:r>
      <w:proofErr w:type="spellEnd"/>
      <w:r>
        <w:t xml:space="preserve"> je platforma, která pod sebou</w:t>
      </w:r>
      <w:r w:rsidRPr="00280C3A">
        <w:t xml:space="preserve"> </w:t>
      </w:r>
      <w:r>
        <w:t>sjednocuje čtyři spolkové centrální zadavatele</w:t>
      </w:r>
      <w:r w:rsidR="003A6C46">
        <w:t>, resp. úřady, které zajišťují centrální nákup pro resorty spolkového ministerstva vnitra</w:t>
      </w:r>
      <w:r w:rsidR="003278E7">
        <w:t xml:space="preserve"> (</w:t>
      </w:r>
      <w:proofErr w:type="spellStart"/>
      <w:r w:rsidR="003278E7" w:rsidRPr="00023562">
        <w:rPr>
          <w:i/>
        </w:rPr>
        <w:t>Beschaffungsamt</w:t>
      </w:r>
      <w:proofErr w:type="spellEnd"/>
      <w:r w:rsidR="003278E7" w:rsidRPr="00023562">
        <w:rPr>
          <w:i/>
        </w:rPr>
        <w:t xml:space="preserve"> des </w:t>
      </w:r>
      <w:proofErr w:type="spellStart"/>
      <w:r w:rsidR="003278E7" w:rsidRPr="00023562">
        <w:rPr>
          <w:i/>
        </w:rPr>
        <w:t>Bundesministeriums</w:t>
      </w:r>
      <w:proofErr w:type="spellEnd"/>
      <w:r w:rsidR="003278E7" w:rsidRPr="00023562">
        <w:rPr>
          <w:i/>
        </w:rPr>
        <w:t xml:space="preserve"> des </w:t>
      </w:r>
      <w:proofErr w:type="spellStart"/>
      <w:r w:rsidR="003278E7" w:rsidRPr="00023562">
        <w:rPr>
          <w:i/>
        </w:rPr>
        <w:t>Innern</w:t>
      </w:r>
      <w:proofErr w:type="spellEnd"/>
      <w:r w:rsidR="003278E7">
        <w:t>)</w:t>
      </w:r>
      <w:r w:rsidR="003A6C46">
        <w:t>, ministerstva financí</w:t>
      </w:r>
      <w:r w:rsidR="003278E7">
        <w:t xml:space="preserve"> (</w:t>
      </w:r>
      <w:proofErr w:type="spellStart"/>
      <w:r w:rsidR="003278E7" w:rsidRPr="00023562">
        <w:rPr>
          <w:i/>
        </w:rPr>
        <w:t>Bundesfinanzdirektion</w:t>
      </w:r>
      <w:proofErr w:type="spellEnd"/>
      <w:r w:rsidR="003278E7" w:rsidRPr="00023562">
        <w:rPr>
          <w:i/>
        </w:rPr>
        <w:t xml:space="preserve"> - </w:t>
      </w:r>
      <w:proofErr w:type="spellStart"/>
      <w:r w:rsidR="003278E7" w:rsidRPr="00023562">
        <w:rPr>
          <w:i/>
        </w:rPr>
        <w:t>Referat</w:t>
      </w:r>
      <w:proofErr w:type="spellEnd"/>
      <w:r w:rsidR="003278E7" w:rsidRPr="00023562">
        <w:rPr>
          <w:i/>
        </w:rPr>
        <w:t xml:space="preserve"> RF5</w:t>
      </w:r>
      <w:r w:rsidR="003278E7">
        <w:t>)</w:t>
      </w:r>
      <w:r w:rsidR="003A6C46">
        <w:t xml:space="preserve">, ministerstva obrany </w:t>
      </w:r>
      <w:r w:rsidR="003278E7">
        <w:t>(</w:t>
      </w:r>
      <w:proofErr w:type="spellStart"/>
      <w:r w:rsidR="003278E7" w:rsidRPr="00023562">
        <w:rPr>
          <w:i/>
        </w:rPr>
        <w:t>Bundesamt</w:t>
      </w:r>
      <w:proofErr w:type="spellEnd"/>
      <w:r w:rsidR="003278E7" w:rsidRPr="00023562">
        <w:rPr>
          <w:i/>
        </w:rPr>
        <w:t xml:space="preserve"> </w:t>
      </w:r>
      <w:proofErr w:type="spellStart"/>
      <w:r w:rsidR="003278E7" w:rsidRPr="00023562">
        <w:rPr>
          <w:i/>
        </w:rPr>
        <w:t>für</w:t>
      </w:r>
      <w:proofErr w:type="spellEnd"/>
      <w:r w:rsidR="003278E7" w:rsidRPr="00023562">
        <w:rPr>
          <w:i/>
        </w:rPr>
        <w:t xml:space="preserve"> </w:t>
      </w:r>
      <w:proofErr w:type="spellStart"/>
      <w:r w:rsidR="003278E7" w:rsidRPr="00023562">
        <w:rPr>
          <w:i/>
        </w:rPr>
        <w:t>Ausrüstung</w:t>
      </w:r>
      <w:proofErr w:type="spellEnd"/>
      <w:r w:rsidR="003278E7" w:rsidRPr="00023562">
        <w:rPr>
          <w:i/>
        </w:rPr>
        <w:t xml:space="preserve">, </w:t>
      </w:r>
      <w:proofErr w:type="spellStart"/>
      <w:r w:rsidR="003278E7" w:rsidRPr="00023562">
        <w:rPr>
          <w:i/>
        </w:rPr>
        <w:t>Informationstechnik</w:t>
      </w:r>
      <w:proofErr w:type="spellEnd"/>
      <w:r w:rsidR="003278E7" w:rsidRPr="00023562">
        <w:rPr>
          <w:i/>
        </w:rPr>
        <w:t xml:space="preserve"> </w:t>
      </w:r>
      <w:proofErr w:type="spellStart"/>
      <w:r w:rsidR="003278E7" w:rsidRPr="00023562">
        <w:rPr>
          <w:i/>
        </w:rPr>
        <w:t>und</w:t>
      </w:r>
      <w:proofErr w:type="spellEnd"/>
      <w:r w:rsidR="003278E7" w:rsidRPr="00023562">
        <w:rPr>
          <w:i/>
        </w:rPr>
        <w:t xml:space="preserve"> </w:t>
      </w:r>
      <w:proofErr w:type="spellStart"/>
      <w:r w:rsidR="003278E7" w:rsidRPr="00023562">
        <w:rPr>
          <w:i/>
        </w:rPr>
        <w:t>Nutzung</w:t>
      </w:r>
      <w:proofErr w:type="spellEnd"/>
      <w:r w:rsidR="003278E7" w:rsidRPr="00023562">
        <w:rPr>
          <w:i/>
        </w:rPr>
        <w:t xml:space="preserve"> der Bundeswehr</w:t>
      </w:r>
      <w:r w:rsidR="003278E7">
        <w:t xml:space="preserve">) </w:t>
      </w:r>
      <w:r w:rsidR="003A6C46">
        <w:t xml:space="preserve">a </w:t>
      </w:r>
      <w:r w:rsidR="003278E7">
        <w:t>hospodářství (</w:t>
      </w:r>
      <w:proofErr w:type="spellStart"/>
      <w:r w:rsidRPr="00023562">
        <w:rPr>
          <w:i/>
        </w:rPr>
        <w:t>Bundesanstalt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für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Materialforschung</w:t>
      </w:r>
      <w:proofErr w:type="spellEnd"/>
      <w:r w:rsidRPr="00023562">
        <w:rPr>
          <w:i/>
        </w:rPr>
        <w:t xml:space="preserve"> </w:t>
      </w:r>
      <w:proofErr w:type="spellStart"/>
      <w:proofErr w:type="gramStart"/>
      <w:r w:rsidRPr="00023562">
        <w:rPr>
          <w:i/>
        </w:rPr>
        <w:t>und</w:t>
      </w:r>
      <w:proofErr w:type="spellEnd"/>
      <w:proofErr w:type="gramEnd"/>
      <w:r w:rsidRPr="00023562">
        <w:rPr>
          <w:i/>
        </w:rPr>
        <w:t xml:space="preserve"> –</w:t>
      </w:r>
      <w:proofErr w:type="spellStart"/>
      <w:proofErr w:type="gramStart"/>
      <w:r w:rsidRPr="00023562">
        <w:rPr>
          <w:i/>
        </w:rPr>
        <w:t>prüfung</w:t>
      </w:r>
      <w:proofErr w:type="spellEnd"/>
      <w:proofErr w:type="gramEnd"/>
      <w:r w:rsidR="003278E7">
        <w:t>)</w:t>
      </w:r>
      <w:r w:rsidRPr="00E031E1">
        <w:t>.</w:t>
      </w:r>
      <w:r>
        <w:t xml:space="preserve"> Každý z</w:t>
      </w:r>
      <w:r w:rsidR="003278E7">
        <w:t xml:space="preserve"> uvedených úřadů </w:t>
      </w:r>
      <w:r>
        <w:t xml:space="preserve">má na starosti obstarávání konkrétní skupiny zboží či služeb, které je následně nabízeno spolkovým institucím </w:t>
      </w:r>
      <w:r w:rsidR="003278E7">
        <w:t xml:space="preserve">na </w:t>
      </w:r>
      <w:r>
        <w:t>e-</w:t>
      </w:r>
      <w:proofErr w:type="spellStart"/>
      <w:r>
        <w:t>shopu</w:t>
      </w:r>
      <w:proofErr w:type="spellEnd"/>
      <w:r>
        <w:t xml:space="preserve"> </w:t>
      </w:r>
      <w:proofErr w:type="spellStart"/>
      <w:r>
        <w:t>KdB</w:t>
      </w:r>
      <w:proofErr w:type="spellEnd"/>
      <w:r w:rsidR="00607C54">
        <w:t>. T</w:t>
      </w:r>
      <w:r w:rsidR="00482D6A">
        <w:t>oto rozdělení shrnuje následující tabulka.</w:t>
      </w:r>
    </w:p>
    <w:tbl>
      <w:tblPr>
        <w:tblStyle w:val="Tabulka47"/>
        <w:tblW w:w="0" w:type="auto"/>
        <w:tblLook w:val="0680" w:firstRow="0" w:lastRow="0" w:firstColumn="1" w:lastColumn="0" w:noHBand="1" w:noVBand="1"/>
      </w:tblPr>
      <w:tblGrid>
        <w:gridCol w:w="3369"/>
        <w:gridCol w:w="5843"/>
      </w:tblGrid>
      <w:tr w:rsidR="00916C3B" w:rsidRPr="007E3433" w:rsidTr="003E17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vMerge w:val="restart"/>
            <w:tcBorders>
              <w:top w:val="single" w:sz="24" w:space="0" w:color="2DB9FF" w:themeColor="accent2"/>
            </w:tcBorders>
          </w:tcPr>
          <w:p w:rsidR="00916C3B" w:rsidRPr="007E3433" w:rsidRDefault="00916C3B" w:rsidP="003E1762">
            <w:pPr>
              <w:spacing w:before="60" w:beforeAutospacing="0" w:after="60" w:afterAutospacing="0"/>
              <w:jc w:val="left"/>
              <w:rPr>
                <w:sz w:val="20"/>
              </w:rPr>
            </w:pPr>
            <w:proofErr w:type="spellStart"/>
            <w:r w:rsidRPr="007E3433">
              <w:rPr>
                <w:rFonts w:eastAsia="Times New Roman"/>
                <w:sz w:val="20"/>
                <w:lang w:eastAsia="cs-CZ"/>
              </w:rPr>
              <w:t>Beschaffungsamt</w:t>
            </w:r>
            <w:proofErr w:type="spellEnd"/>
            <w:r w:rsidRPr="007E3433">
              <w:rPr>
                <w:rFonts w:eastAsia="Times New Roman"/>
                <w:sz w:val="20"/>
                <w:lang w:eastAsia="cs-CZ"/>
              </w:rPr>
              <w:t xml:space="preserve"> des </w:t>
            </w:r>
            <w:proofErr w:type="spellStart"/>
            <w:r w:rsidRPr="007E3433">
              <w:rPr>
                <w:rFonts w:eastAsia="Times New Roman"/>
                <w:sz w:val="20"/>
                <w:lang w:eastAsia="cs-CZ"/>
              </w:rPr>
              <w:t>Bundesministeriums</w:t>
            </w:r>
            <w:proofErr w:type="spellEnd"/>
            <w:r w:rsidRPr="007E3433">
              <w:rPr>
                <w:rFonts w:eastAsia="Times New Roman"/>
                <w:sz w:val="20"/>
                <w:lang w:eastAsia="cs-CZ"/>
              </w:rPr>
              <w:t xml:space="preserve"> des </w:t>
            </w:r>
            <w:proofErr w:type="spellStart"/>
            <w:r w:rsidRPr="007E3433">
              <w:rPr>
                <w:rFonts w:eastAsia="Times New Roman"/>
                <w:sz w:val="20"/>
                <w:lang w:eastAsia="cs-CZ"/>
              </w:rPr>
              <w:t>Innern</w:t>
            </w:r>
            <w:proofErr w:type="spellEnd"/>
          </w:p>
        </w:tc>
        <w:tc>
          <w:tcPr>
            <w:tcW w:w="5843" w:type="dxa"/>
            <w:tcBorders>
              <w:top w:val="single" w:sz="24" w:space="0" w:color="2DB9FF" w:themeColor="accent2"/>
              <w:bottom w:val="nil"/>
            </w:tcBorders>
            <w:vAlign w:val="bottom"/>
          </w:tcPr>
          <w:p w:rsidR="00916C3B" w:rsidRPr="007E3433" w:rsidRDefault="00BD4701" w:rsidP="003E1762">
            <w:pPr>
              <w:spacing w:before="60" w:beforeAutospacing="0" w:after="6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lang w:eastAsia="cs-CZ"/>
              </w:rPr>
            </w:pPr>
            <w:r>
              <w:rPr>
                <w:rFonts w:eastAsia="Times New Roman"/>
                <w:sz w:val="20"/>
                <w:lang w:eastAsia="cs-CZ"/>
              </w:rPr>
              <w:t>ICT</w:t>
            </w:r>
            <w:r w:rsidR="00916C3B" w:rsidRPr="007E3433">
              <w:rPr>
                <w:rFonts w:eastAsia="Times New Roman"/>
                <w:sz w:val="20"/>
                <w:lang w:eastAsia="cs-CZ"/>
              </w:rPr>
              <w:t xml:space="preserve"> (software, hardware, služby spojené s ICT atd.)</w:t>
            </w:r>
          </w:p>
        </w:tc>
      </w:tr>
      <w:tr w:rsidR="00916C3B" w:rsidRPr="007E3433" w:rsidTr="003E17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vMerge/>
          </w:tcPr>
          <w:p w:rsidR="00916C3B" w:rsidRPr="007E3433" w:rsidRDefault="00916C3B" w:rsidP="003E1762">
            <w:pPr>
              <w:spacing w:before="60" w:beforeAutospacing="0" w:after="60" w:afterAutospacing="0"/>
              <w:jc w:val="left"/>
              <w:rPr>
                <w:sz w:val="20"/>
              </w:rPr>
            </w:pPr>
          </w:p>
        </w:tc>
        <w:tc>
          <w:tcPr>
            <w:tcW w:w="5843" w:type="dxa"/>
            <w:tcBorders>
              <w:top w:val="nil"/>
            </w:tcBorders>
            <w:vAlign w:val="bottom"/>
          </w:tcPr>
          <w:p w:rsidR="00916C3B" w:rsidRPr="007E3433" w:rsidRDefault="00916C3B" w:rsidP="003E1762">
            <w:pPr>
              <w:spacing w:before="60" w:beforeAutospacing="0" w:after="6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lang w:eastAsia="cs-CZ"/>
              </w:rPr>
            </w:pPr>
            <w:r w:rsidRPr="007E3433">
              <w:rPr>
                <w:rFonts w:eastAsia="Times New Roman"/>
                <w:sz w:val="20"/>
                <w:lang w:eastAsia="cs-CZ"/>
              </w:rPr>
              <w:t>Komunikační technika (telefonní služby, koncová zařízení atd.)</w:t>
            </w:r>
          </w:p>
        </w:tc>
      </w:tr>
      <w:tr w:rsidR="00916C3B" w:rsidRPr="007E3433" w:rsidTr="003E17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vMerge/>
            <w:tcBorders>
              <w:bottom w:val="single" w:sz="8" w:space="0" w:color="2DB9FF" w:themeColor="accent2"/>
            </w:tcBorders>
          </w:tcPr>
          <w:p w:rsidR="00916C3B" w:rsidRPr="007E3433" w:rsidRDefault="00916C3B" w:rsidP="003E1762">
            <w:pPr>
              <w:spacing w:before="60" w:beforeAutospacing="0" w:after="60" w:afterAutospacing="0"/>
              <w:jc w:val="left"/>
              <w:rPr>
                <w:sz w:val="20"/>
              </w:rPr>
            </w:pPr>
          </w:p>
        </w:tc>
        <w:tc>
          <w:tcPr>
            <w:tcW w:w="5843" w:type="dxa"/>
            <w:tcBorders>
              <w:bottom w:val="single" w:sz="8" w:space="0" w:color="2DB9FF" w:themeColor="accent2"/>
            </w:tcBorders>
            <w:vAlign w:val="bottom"/>
          </w:tcPr>
          <w:p w:rsidR="00916C3B" w:rsidRPr="007E3433" w:rsidRDefault="00916C3B" w:rsidP="003E1762">
            <w:pPr>
              <w:spacing w:before="60" w:beforeAutospacing="0" w:after="6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lang w:eastAsia="cs-CZ"/>
              </w:rPr>
            </w:pPr>
            <w:r w:rsidRPr="007E3433">
              <w:rPr>
                <w:rFonts w:eastAsia="Times New Roman"/>
                <w:sz w:val="20"/>
                <w:lang w:eastAsia="cs-CZ"/>
              </w:rPr>
              <w:t>Služby (reklama, poradenství pošta atd.)</w:t>
            </w:r>
          </w:p>
        </w:tc>
      </w:tr>
      <w:tr w:rsidR="00916C3B" w:rsidRPr="007E3433" w:rsidTr="003E17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vMerge w:val="restart"/>
            <w:tcBorders>
              <w:top w:val="single" w:sz="8" w:space="0" w:color="2DB9FF" w:themeColor="accent2"/>
              <w:bottom w:val="nil"/>
            </w:tcBorders>
          </w:tcPr>
          <w:p w:rsidR="00916C3B" w:rsidRPr="007E3433" w:rsidRDefault="00916C3B" w:rsidP="003E1762">
            <w:pPr>
              <w:spacing w:before="60" w:beforeAutospacing="0" w:after="60" w:afterAutospacing="0"/>
              <w:jc w:val="left"/>
              <w:rPr>
                <w:sz w:val="20"/>
              </w:rPr>
            </w:pPr>
            <w:proofErr w:type="spellStart"/>
            <w:r w:rsidRPr="007E3433">
              <w:rPr>
                <w:sz w:val="20"/>
              </w:rPr>
              <w:t>Bundesfinanzdirektion</w:t>
            </w:r>
            <w:proofErr w:type="spellEnd"/>
            <w:r w:rsidRPr="007E3433">
              <w:rPr>
                <w:sz w:val="20"/>
              </w:rPr>
              <w:t xml:space="preserve"> - </w:t>
            </w:r>
            <w:proofErr w:type="spellStart"/>
            <w:r w:rsidRPr="007E3433">
              <w:rPr>
                <w:sz w:val="20"/>
              </w:rPr>
              <w:t>Referat</w:t>
            </w:r>
            <w:proofErr w:type="spellEnd"/>
            <w:r w:rsidRPr="007E3433">
              <w:rPr>
                <w:sz w:val="20"/>
              </w:rPr>
              <w:t xml:space="preserve"> RF5</w:t>
            </w:r>
          </w:p>
        </w:tc>
        <w:tc>
          <w:tcPr>
            <w:tcW w:w="5843" w:type="dxa"/>
            <w:tcBorders>
              <w:top w:val="single" w:sz="8" w:space="0" w:color="2DB9FF" w:themeColor="accent2"/>
              <w:bottom w:val="nil"/>
            </w:tcBorders>
            <w:vAlign w:val="bottom"/>
          </w:tcPr>
          <w:p w:rsidR="00916C3B" w:rsidRPr="007E3433" w:rsidRDefault="00916C3B" w:rsidP="003E1762">
            <w:pPr>
              <w:spacing w:before="60" w:beforeAutospacing="0" w:after="6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lang w:eastAsia="cs-CZ"/>
              </w:rPr>
            </w:pPr>
            <w:r w:rsidRPr="007E3433">
              <w:rPr>
                <w:rFonts w:eastAsia="Times New Roman"/>
                <w:sz w:val="20"/>
                <w:lang w:eastAsia="cs-CZ"/>
              </w:rPr>
              <w:t>Vozový park (vozidla a jejich pronájem, údržba atd.)</w:t>
            </w:r>
          </w:p>
        </w:tc>
      </w:tr>
      <w:tr w:rsidR="00916C3B" w:rsidRPr="007E3433" w:rsidTr="003E17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vMerge/>
            <w:tcBorders>
              <w:bottom w:val="nil"/>
            </w:tcBorders>
          </w:tcPr>
          <w:p w:rsidR="00916C3B" w:rsidRPr="007E3433" w:rsidRDefault="00916C3B" w:rsidP="003E1762">
            <w:pPr>
              <w:spacing w:before="60" w:beforeAutospacing="0" w:after="60" w:afterAutospacing="0"/>
              <w:jc w:val="left"/>
              <w:rPr>
                <w:sz w:val="20"/>
              </w:rPr>
            </w:pPr>
          </w:p>
        </w:tc>
        <w:tc>
          <w:tcPr>
            <w:tcW w:w="5843" w:type="dxa"/>
            <w:tcBorders>
              <w:bottom w:val="nil"/>
            </w:tcBorders>
            <w:vAlign w:val="bottom"/>
          </w:tcPr>
          <w:p w:rsidR="00916C3B" w:rsidRPr="007E3433" w:rsidRDefault="00916C3B" w:rsidP="003E1762">
            <w:pPr>
              <w:spacing w:before="60" w:beforeAutospacing="0" w:after="6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lang w:eastAsia="cs-CZ"/>
              </w:rPr>
            </w:pPr>
            <w:r w:rsidRPr="007E3433">
              <w:rPr>
                <w:rFonts w:eastAsia="Times New Roman"/>
                <w:sz w:val="20"/>
                <w:lang w:eastAsia="cs-CZ"/>
              </w:rPr>
              <w:t>Kancelářské potřeby (tiskárny, papíry, psací potřeby atd.)</w:t>
            </w:r>
          </w:p>
        </w:tc>
      </w:tr>
      <w:tr w:rsidR="00916C3B" w:rsidRPr="007E3433" w:rsidTr="003E17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vMerge/>
            <w:tcBorders>
              <w:bottom w:val="nil"/>
            </w:tcBorders>
          </w:tcPr>
          <w:p w:rsidR="00916C3B" w:rsidRPr="007E3433" w:rsidRDefault="00916C3B" w:rsidP="003E1762">
            <w:pPr>
              <w:spacing w:before="60" w:beforeAutospacing="0" w:after="60" w:afterAutospacing="0"/>
              <w:jc w:val="left"/>
              <w:rPr>
                <w:sz w:val="20"/>
              </w:rPr>
            </w:pPr>
          </w:p>
        </w:tc>
        <w:tc>
          <w:tcPr>
            <w:tcW w:w="5843" w:type="dxa"/>
            <w:tcBorders>
              <w:bottom w:val="nil"/>
            </w:tcBorders>
            <w:vAlign w:val="bottom"/>
          </w:tcPr>
          <w:p w:rsidR="00916C3B" w:rsidRPr="007E3433" w:rsidRDefault="00916C3B" w:rsidP="003E1762">
            <w:pPr>
              <w:spacing w:before="60" w:beforeAutospacing="0" w:after="6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lang w:eastAsia="cs-CZ"/>
              </w:rPr>
            </w:pPr>
            <w:r w:rsidRPr="007E3433">
              <w:rPr>
                <w:rFonts w:eastAsia="Times New Roman"/>
                <w:sz w:val="20"/>
                <w:lang w:eastAsia="cs-CZ"/>
              </w:rPr>
              <w:t>Ochranné pracovní pomůcky</w:t>
            </w:r>
          </w:p>
        </w:tc>
      </w:tr>
      <w:tr w:rsidR="00916C3B" w:rsidRPr="007E3433" w:rsidTr="003E17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vMerge/>
            <w:tcBorders>
              <w:bottom w:val="nil"/>
            </w:tcBorders>
          </w:tcPr>
          <w:p w:rsidR="00916C3B" w:rsidRPr="007E3433" w:rsidRDefault="00916C3B" w:rsidP="003E1762">
            <w:pPr>
              <w:spacing w:before="60" w:beforeAutospacing="0" w:after="60" w:afterAutospacing="0"/>
              <w:jc w:val="left"/>
              <w:rPr>
                <w:sz w:val="20"/>
              </w:rPr>
            </w:pPr>
          </w:p>
        </w:tc>
        <w:tc>
          <w:tcPr>
            <w:tcW w:w="5843" w:type="dxa"/>
            <w:tcBorders>
              <w:bottom w:val="nil"/>
            </w:tcBorders>
            <w:vAlign w:val="bottom"/>
          </w:tcPr>
          <w:p w:rsidR="00916C3B" w:rsidRPr="007E3433" w:rsidRDefault="00BD4701" w:rsidP="00BD4701">
            <w:pPr>
              <w:spacing w:before="60" w:beforeAutospacing="0" w:after="6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lang w:eastAsia="cs-CZ"/>
              </w:rPr>
            </w:pPr>
            <w:r>
              <w:rPr>
                <w:rFonts w:eastAsia="Times New Roman"/>
                <w:sz w:val="20"/>
                <w:lang w:eastAsia="cs-CZ"/>
              </w:rPr>
              <w:t>ICT</w:t>
            </w:r>
            <w:r w:rsidR="00916C3B" w:rsidRPr="007E3433">
              <w:rPr>
                <w:rFonts w:eastAsia="Times New Roman"/>
                <w:sz w:val="20"/>
                <w:lang w:eastAsia="cs-CZ"/>
              </w:rPr>
              <w:t xml:space="preserve"> spotřební zboží (tonery)</w:t>
            </w:r>
          </w:p>
        </w:tc>
      </w:tr>
      <w:tr w:rsidR="00916C3B" w:rsidRPr="007E3433" w:rsidTr="003E17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vMerge/>
            <w:tcBorders>
              <w:bottom w:val="single" w:sz="8" w:space="0" w:color="2DB9FF" w:themeColor="accent2"/>
            </w:tcBorders>
          </w:tcPr>
          <w:p w:rsidR="00916C3B" w:rsidRPr="007E3433" w:rsidRDefault="00916C3B" w:rsidP="003E1762">
            <w:pPr>
              <w:spacing w:before="60" w:beforeAutospacing="0" w:after="60" w:afterAutospacing="0"/>
              <w:jc w:val="left"/>
              <w:rPr>
                <w:sz w:val="20"/>
              </w:rPr>
            </w:pPr>
          </w:p>
        </w:tc>
        <w:tc>
          <w:tcPr>
            <w:tcW w:w="5843" w:type="dxa"/>
            <w:tcBorders>
              <w:bottom w:val="single" w:sz="8" w:space="0" w:color="2DB9FF" w:themeColor="accent2"/>
            </w:tcBorders>
            <w:vAlign w:val="bottom"/>
          </w:tcPr>
          <w:p w:rsidR="00916C3B" w:rsidRPr="007E3433" w:rsidRDefault="00916C3B" w:rsidP="003E1762">
            <w:pPr>
              <w:spacing w:before="60" w:beforeAutospacing="0" w:after="6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lang w:eastAsia="cs-CZ"/>
              </w:rPr>
            </w:pPr>
            <w:r w:rsidRPr="007E3433">
              <w:rPr>
                <w:rFonts w:eastAsia="Times New Roman"/>
                <w:sz w:val="20"/>
                <w:lang w:eastAsia="cs-CZ"/>
              </w:rPr>
              <w:t>Nábytek a osvětlení</w:t>
            </w:r>
          </w:p>
        </w:tc>
      </w:tr>
      <w:tr w:rsidR="00916C3B" w:rsidRPr="007E3433" w:rsidTr="003E17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vMerge w:val="restart"/>
            <w:tcBorders>
              <w:top w:val="single" w:sz="8" w:space="0" w:color="2DB9FF" w:themeColor="accent2"/>
              <w:bottom w:val="nil"/>
            </w:tcBorders>
          </w:tcPr>
          <w:p w:rsidR="00916C3B" w:rsidRPr="007E3433" w:rsidRDefault="00916C3B" w:rsidP="003E1762">
            <w:pPr>
              <w:spacing w:before="60" w:beforeAutospacing="0" w:after="60" w:afterAutospacing="0"/>
              <w:jc w:val="left"/>
              <w:rPr>
                <w:sz w:val="20"/>
              </w:rPr>
            </w:pPr>
            <w:proofErr w:type="spellStart"/>
            <w:r w:rsidRPr="007E3433">
              <w:rPr>
                <w:sz w:val="20"/>
              </w:rPr>
              <w:t>Bundesamt</w:t>
            </w:r>
            <w:proofErr w:type="spellEnd"/>
            <w:r w:rsidRPr="007E3433">
              <w:rPr>
                <w:sz w:val="20"/>
              </w:rPr>
              <w:t xml:space="preserve"> </w:t>
            </w:r>
            <w:proofErr w:type="spellStart"/>
            <w:r w:rsidRPr="007E3433">
              <w:rPr>
                <w:sz w:val="20"/>
              </w:rPr>
              <w:t>für</w:t>
            </w:r>
            <w:proofErr w:type="spellEnd"/>
            <w:r w:rsidRPr="007E3433">
              <w:rPr>
                <w:sz w:val="20"/>
              </w:rPr>
              <w:t xml:space="preserve"> </w:t>
            </w:r>
            <w:proofErr w:type="spellStart"/>
            <w:r w:rsidRPr="007E3433">
              <w:rPr>
                <w:sz w:val="20"/>
              </w:rPr>
              <w:t>Ausrüstung</w:t>
            </w:r>
            <w:proofErr w:type="spellEnd"/>
            <w:r w:rsidRPr="007E3433">
              <w:rPr>
                <w:sz w:val="20"/>
              </w:rPr>
              <w:t xml:space="preserve">, </w:t>
            </w:r>
            <w:proofErr w:type="spellStart"/>
            <w:r w:rsidRPr="007E3433">
              <w:rPr>
                <w:sz w:val="20"/>
              </w:rPr>
              <w:t>Informationstechnik</w:t>
            </w:r>
            <w:proofErr w:type="spellEnd"/>
            <w:r w:rsidRPr="007E3433">
              <w:rPr>
                <w:sz w:val="20"/>
              </w:rPr>
              <w:t xml:space="preserve"> </w:t>
            </w:r>
            <w:proofErr w:type="spellStart"/>
            <w:r w:rsidRPr="007E3433">
              <w:rPr>
                <w:sz w:val="20"/>
              </w:rPr>
              <w:t>und</w:t>
            </w:r>
            <w:proofErr w:type="spellEnd"/>
            <w:r w:rsidRPr="007E3433">
              <w:rPr>
                <w:sz w:val="20"/>
              </w:rPr>
              <w:t xml:space="preserve"> </w:t>
            </w:r>
            <w:proofErr w:type="spellStart"/>
            <w:r w:rsidRPr="007E3433">
              <w:rPr>
                <w:sz w:val="20"/>
              </w:rPr>
              <w:t>Nutzung</w:t>
            </w:r>
            <w:proofErr w:type="spellEnd"/>
            <w:r w:rsidRPr="007E3433">
              <w:rPr>
                <w:sz w:val="20"/>
              </w:rPr>
              <w:t xml:space="preserve"> der Bundeswehr</w:t>
            </w:r>
          </w:p>
        </w:tc>
        <w:tc>
          <w:tcPr>
            <w:tcW w:w="5843" w:type="dxa"/>
            <w:tcBorders>
              <w:top w:val="single" w:sz="8" w:space="0" w:color="2DB9FF" w:themeColor="accent2"/>
              <w:bottom w:val="nil"/>
            </w:tcBorders>
            <w:vAlign w:val="bottom"/>
          </w:tcPr>
          <w:p w:rsidR="00916C3B" w:rsidRPr="007E3433" w:rsidRDefault="00916C3B" w:rsidP="003E1762">
            <w:pPr>
              <w:spacing w:before="60" w:beforeAutospacing="0" w:after="6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lang w:eastAsia="cs-CZ"/>
              </w:rPr>
            </w:pPr>
            <w:r w:rsidRPr="007E3433">
              <w:rPr>
                <w:rFonts w:eastAsia="Times New Roman"/>
                <w:sz w:val="20"/>
                <w:lang w:eastAsia="cs-CZ"/>
              </w:rPr>
              <w:t>Osvětlení + elektroinstalace</w:t>
            </w:r>
          </w:p>
        </w:tc>
      </w:tr>
      <w:tr w:rsidR="00916C3B" w:rsidRPr="007E3433" w:rsidTr="003E17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vMerge/>
            <w:tcBorders>
              <w:bottom w:val="nil"/>
            </w:tcBorders>
          </w:tcPr>
          <w:p w:rsidR="00916C3B" w:rsidRPr="007E3433" w:rsidRDefault="00916C3B" w:rsidP="003E1762">
            <w:pPr>
              <w:spacing w:before="60" w:beforeAutospacing="0" w:after="60" w:afterAutospacing="0"/>
              <w:jc w:val="left"/>
              <w:rPr>
                <w:sz w:val="20"/>
              </w:rPr>
            </w:pPr>
          </w:p>
        </w:tc>
        <w:tc>
          <w:tcPr>
            <w:tcW w:w="5843" w:type="dxa"/>
            <w:tcBorders>
              <w:bottom w:val="nil"/>
            </w:tcBorders>
            <w:vAlign w:val="bottom"/>
          </w:tcPr>
          <w:p w:rsidR="00916C3B" w:rsidRPr="007E3433" w:rsidRDefault="00916C3B" w:rsidP="003E1762">
            <w:pPr>
              <w:spacing w:before="60" w:beforeAutospacing="0" w:after="6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lang w:eastAsia="cs-CZ"/>
              </w:rPr>
            </w:pPr>
            <w:r w:rsidRPr="007E3433">
              <w:rPr>
                <w:rFonts w:eastAsia="Times New Roman"/>
                <w:sz w:val="20"/>
                <w:lang w:eastAsia="cs-CZ"/>
              </w:rPr>
              <w:t>Audiovizuální technika</w:t>
            </w:r>
          </w:p>
        </w:tc>
      </w:tr>
      <w:tr w:rsidR="00916C3B" w:rsidRPr="007E3433" w:rsidTr="003E17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vMerge/>
            <w:tcBorders>
              <w:bottom w:val="nil"/>
            </w:tcBorders>
          </w:tcPr>
          <w:p w:rsidR="00916C3B" w:rsidRPr="007E3433" w:rsidRDefault="00916C3B" w:rsidP="003E1762">
            <w:pPr>
              <w:spacing w:before="60" w:beforeAutospacing="0" w:after="60" w:afterAutospacing="0"/>
              <w:jc w:val="left"/>
              <w:rPr>
                <w:sz w:val="20"/>
              </w:rPr>
            </w:pPr>
          </w:p>
        </w:tc>
        <w:tc>
          <w:tcPr>
            <w:tcW w:w="5843" w:type="dxa"/>
            <w:tcBorders>
              <w:bottom w:val="nil"/>
            </w:tcBorders>
            <w:vAlign w:val="bottom"/>
          </w:tcPr>
          <w:p w:rsidR="00916C3B" w:rsidRPr="007E3433" w:rsidRDefault="00916C3B" w:rsidP="003E1762">
            <w:pPr>
              <w:spacing w:before="60" w:beforeAutospacing="0" w:after="6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lang w:eastAsia="cs-CZ"/>
              </w:rPr>
            </w:pPr>
            <w:r w:rsidRPr="007E3433">
              <w:rPr>
                <w:rFonts w:eastAsia="Times New Roman"/>
                <w:sz w:val="20"/>
                <w:lang w:eastAsia="cs-CZ"/>
              </w:rPr>
              <w:t>Pracovní nástroje (obecné a specializované)</w:t>
            </w:r>
          </w:p>
        </w:tc>
      </w:tr>
      <w:tr w:rsidR="00916C3B" w:rsidRPr="007E3433" w:rsidTr="003E17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vMerge/>
            <w:tcBorders>
              <w:bottom w:val="single" w:sz="8" w:space="0" w:color="2DB9FF" w:themeColor="accent2"/>
            </w:tcBorders>
          </w:tcPr>
          <w:p w:rsidR="00916C3B" w:rsidRPr="007E3433" w:rsidRDefault="00916C3B" w:rsidP="003E1762">
            <w:pPr>
              <w:spacing w:before="60" w:beforeAutospacing="0" w:after="60" w:afterAutospacing="0"/>
              <w:jc w:val="left"/>
              <w:rPr>
                <w:sz w:val="20"/>
              </w:rPr>
            </w:pPr>
          </w:p>
        </w:tc>
        <w:tc>
          <w:tcPr>
            <w:tcW w:w="5843" w:type="dxa"/>
            <w:tcBorders>
              <w:bottom w:val="single" w:sz="8" w:space="0" w:color="2DB9FF" w:themeColor="accent2"/>
            </w:tcBorders>
            <w:vAlign w:val="bottom"/>
          </w:tcPr>
          <w:p w:rsidR="00916C3B" w:rsidRPr="007E3433" w:rsidRDefault="00916C3B" w:rsidP="003E1762">
            <w:pPr>
              <w:spacing w:before="60" w:beforeAutospacing="0" w:after="6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lang w:eastAsia="cs-CZ"/>
              </w:rPr>
            </w:pPr>
            <w:r w:rsidRPr="007E3433">
              <w:rPr>
                <w:rFonts w:eastAsia="Times New Roman"/>
                <w:sz w:val="20"/>
                <w:lang w:eastAsia="cs-CZ"/>
              </w:rPr>
              <w:t>Pohonné hmoty</w:t>
            </w:r>
          </w:p>
        </w:tc>
      </w:tr>
      <w:tr w:rsidR="00916C3B" w:rsidRPr="007E3433" w:rsidTr="003E17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vMerge w:val="restart"/>
            <w:tcBorders>
              <w:top w:val="single" w:sz="8" w:space="0" w:color="2DB9FF" w:themeColor="accent2"/>
              <w:bottom w:val="nil"/>
            </w:tcBorders>
          </w:tcPr>
          <w:p w:rsidR="00916C3B" w:rsidRPr="007E3433" w:rsidRDefault="00916C3B" w:rsidP="003E1762">
            <w:pPr>
              <w:spacing w:before="60" w:beforeAutospacing="0" w:after="60" w:afterAutospacing="0"/>
              <w:jc w:val="left"/>
              <w:rPr>
                <w:sz w:val="20"/>
              </w:rPr>
            </w:pPr>
            <w:proofErr w:type="spellStart"/>
            <w:r w:rsidRPr="007E3433">
              <w:rPr>
                <w:sz w:val="20"/>
              </w:rPr>
              <w:t>Bundesanstalt</w:t>
            </w:r>
            <w:proofErr w:type="spellEnd"/>
            <w:r w:rsidRPr="007E3433">
              <w:rPr>
                <w:sz w:val="20"/>
              </w:rPr>
              <w:t xml:space="preserve"> </w:t>
            </w:r>
            <w:proofErr w:type="spellStart"/>
            <w:r w:rsidRPr="007E3433">
              <w:rPr>
                <w:sz w:val="20"/>
              </w:rPr>
              <w:t>für</w:t>
            </w:r>
            <w:proofErr w:type="spellEnd"/>
            <w:r w:rsidRPr="007E3433">
              <w:rPr>
                <w:sz w:val="20"/>
              </w:rPr>
              <w:t xml:space="preserve"> </w:t>
            </w:r>
            <w:proofErr w:type="spellStart"/>
            <w:r w:rsidRPr="007E3433">
              <w:rPr>
                <w:sz w:val="20"/>
              </w:rPr>
              <w:t>Materialforschung</w:t>
            </w:r>
            <w:proofErr w:type="spellEnd"/>
            <w:r w:rsidRPr="007E3433">
              <w:rPr>
                <w:sz w:val="20"/>
              </w:rPr>
              <w:t xml:space="preserve"> </w:t>
            </w:r>
            <w:proofErr w:type="spellStart"/>
            <w:proofErr w:type="gramStart"/>
            <w:r w:rsidRPr="007E3433">
              <w:rPr>
                <w:sz w:val="20"/>
              </w:rPr>
              <w:t>und</w:t>
            </w:r>
            <w:proofErr w:type="spellEnd"/>
            <w:proofErr w:type="gramEnd"/>
            <w:r w:rsidRPr="007E3433">
              <w:rPr>
                <w:sz w:val="20"/>
              </w:rPr>
              <w:t xml:space="preserve"> –</w:t>
            </w:r>
            <w:proofErr w:type="spellStart"/>
            <w:proofErr w:type="gramStart"/>
            <w:r w:rsidRPr="007E3433">
              <w:rPr>
                <w:sz w:val="20"/>
              </w:rPr>
              <w:t>prüfung</w:t>
            </w:r>
            <w:proofErr w:type="spellEnd"/>
            <w:proofErr w:type="gramEnd"/>
          </w:p>
        </w:tc>
        <w:tc>
          <w:tcPr>
            <w:tcW w:w="5843" w:type="dxa"/>
            <w:tcBorders>
              <w:top w:val="single" w:sz="8" w:space="0" w:color="2DB9FF" w:themeColor="accent2"/>
              <w:bottom w:val="nil"/>
            </w:tcBorders>
            <w:vAlign w:val="bottom"/>
          </w:tcPr>
          <w:p w:rsidR="00916C3B" w:rsidRPr="007E3433" w:rsidRDefault="00916C3B" w:rsidP="003E1762">
            <w:pPr>
              <w:spacing w:before="60" w:beforeAutospacing="0" w:after="6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lang w:eastAsia="cs-CZ"/>
              </w:rPr>
            </w:pPr>
            <w:r w:rsidRPr="007E3433">
              <w:rPr>
                <w:rFonts w:eastAsia="Times New Roman"/>
                <w:sz w:val="20"/>
                <w:lang w:eastAsia="cs-CZ"/>
              </w:rPr>
              <w:t>Laboratorní vybavení</w:t>
            </w:r>
          </w:p>
        </w:tc>
      </w:tr>
      <w:tr w:rsidR="00916C3B" w:rsidRPr="007E3433" w:rsidTr="003E17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vMerge/>
            <w:tcBorders>
              <w:bottom w:val="nil"/>
            </w:tcBorders>
          </w:tcPr>
          <w:p w:rsidR="00916C3B" w:rsidRPr="007E3433" w:rsidRDefault="00916C3B" w:rsidP="003E1762">
            <w:pPr>
              <w:spacing w:before="60" w:beforeAutospacing="0" w:after="60" w:afterAutospacing="0"/>
              <w:rPr>
                <w:sz w:val="20"/>
              </w:rPr>
            </w:pPr>
          </w:p>
        </w:tc>
        <w:tc>
          <w:tcPr>
            <w:tcW w:w="5843" w:type="dxa"/>
            <w:tcBorders>
              <w:bottom w:val="nil"/>
            </w:tcBorders>
            <w:vAlign w:val="bottom"/>
          </w:tcPr>
          <w:p w:rsidR="00916C3B" w:rsidRPr="007E3433" w:rsidRDefault="00916C3B" w:rsidP="003E1762">
            <w:pPr>
              <w:spacing w:before="60" w:beforeAutospacing="0" w:after="6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lang w:eastAsia="cs-CZ"/>
              </w:rPr>
            </w:pPr>
            <w:r w:rsidRPr="007E3433">
              <w:rPr>
                <w:rFonts w:eastAsia="Times New Roman"/>
                <w:sz w:val="20"/>
                <w:lang w:eastAsia="cs-CZ"/>
              </w:rPr>
              <w:t>Čisticí prostředky</w:t>
            </w:r>
          </w:p>
        </w:tc>
      </w:tr>
      <w:tr w:rsidR="00916C3B" w:rsidRPr="007E3433" w:rsidTr="003E17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vMerge/>
            <w:tcBorders>
              <w:bottom w:val="single" w:sz="24" w:space="0" w:color="2DB9FF" w:themeColor="accent2"/>
            </w:tcBorders>
          </w:tcPr>
          <w:p w:rsidR="00916C3B" w:rsidRPr="007E3433" w:rsidRDefault="00916C3B" w:rsidP="003E1762">
            <w:pPr>
              <w:spacing w:before="60" w:beforeAutospacing="0" w:after="60" w:afterAutospacing="0"/>
              <w:rPr>
                <w:sz w:val="20"/>
              </w:rPr>
            </w:pPr>
          </w:p>
        </w:tc>
        <w:tc>
          <w:tcPr>
            <w:tcW w:w="5843" w:type="dxa"/>
            <w:tcBorders>
              <w:bottom w:val="single" w:sz="24" w:space="0" w:color="2DB9FF" w:themeColor="accent2"/>
            </w:tcBorders>
            <w:vAlign w:val="bottom"/>
          </w:tcPr>
          <w:p w:rsidR="00916C3B" w:rsidRPr="007E3433" w:rsidRDefault="00916C3B" w:rsidP="00023562">
            <w:pPr>
              <w:keepNext/>
              <w:spacing w:before="60" w:beforeAutospacing="0" w:after="6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lang w:eastAsia="cs-CZ"/>
              </w:rPr>
            </w:pPr>
            <w:r w:rsidRPr="007E3433">
              <w:rPr>
                <w:rFonts w:eastAsia="Times New Roman"/>
                <w:sz w:val="20"/>
                <w:lang w:eastAsia="cs-CZ"/>
              </w:rPr>
              <w:t>Hygienické pomůcky</w:t>
            </w:r>
          </w:p>
        </w:tc>
      </w:tr>
    </w:tbl>
    <w:p w:rsidR="00916C3B" w:rsidRPr="00023562" w:rsidRDefault="00916C3B" w:rsidP="00023562">
      <w:pPr>
        <w:pStyle w:val="Titulek"/>
        <w:spacing w:after="240"/>
      </w:pPr>
      <w:r w:rsidRPr="00023562">
        <w:t xml:space="preserve">Tabulka </w:t>
      </w:r>
      <w:fldSimple w:instr=" SEQ Tabulka \* ARABIC ">
        <w:r w:rsidR="002B60F5">
          <w:rPr>
            <w:noProof/>
          </w:rPr>
          <w:t>1</w:t>
        </w:r>
      </w:fldSimple>
      <w:r w:rsidRPr="00023562">
        <w:t xml:space="preserve"> Přidělení komodit jednotlivým centrálním zadavatelům</w:t>
      </w:r>
    </w:p>
    <w:p w:rsidR="00916C3B" w:rsidRDefault="00916C3B">
      <w:r>
        <w:t>Hlavní výhody současného systému spočívají zejména v následujícím:</w:t>
      </w:r>
    </w:p>
    <w:p w:rsidR="00916C3B" w:rsidRDefault="00482D6A" w:rsidP="00023562">
      <w:pPr>
        <w:pStyle w:val="Odstavecseseznamem"/>
        <w:numPr>
          <w:ilvl w:val="0"/>
          <w:numId w:val="29"/>
        </w:numPr>
      </w:pPr>
      <w:r>
        <w:t>Shodné cenové podmínky u centrálně nakupovaných komodit napříč státní správou</w:t>
      </w:r>
      <w:r w:rsidR="00916C3B">
        <w:t>;</w:t>
      </w:r>
    </w:p>
    <w:p w:rsidR="00916C3B" w:rsidRDefault="00916C3B" w:rsidP="00023562">
      <w:pPr>
        <w:pStyle w:val="Odstavecseseznamem"/>
        <w:numPr>
          <w:ilvl w:val="0"/>
          <w:numId w:val="29"/>
        </w:numPr>
      </w:pPr>
      <w:r>
        <w:t xml:space="preserve">Maximální využití finančních úspor </w:t>
      </w:r>
      <w:r w:rsidR="000A3124">
        <w:t>díky</w:t>
      </w:r>
      <w:r>
        <w:t> tomu, že je realizována jedna centrální soutěž;</w:t>
      </w:r>
    </w:p>
    <w:p w:rsidR="00916C3B" w:rsidRPr="00916C3B" w:rsidRDefault="00482D6A" w:rsidP="00023562">
      <w:pPr>
        <w:pStyle w:val="Odstavecseseznamem"/>
        <w:numPr>
          <w:ilvl w:val="0"/>
          <w:numId w:val="29"/>
        </w:numPr>
      </w:pPr>
      <w:r>
        <w:t xml:space="preserve">Eliminace duplicitně vykonávaných činností </w:t>
      </w:r>
      <w:r w:rsidR="000A3124">
        <w:t xml:space="preserve">díky </w:t>
      </w:r>
      <w:r>
        <w:t>přesnému vymezení odpovědnosti na zajišťování nákupu daných komodit.</w:t>
      </w:r>
    </w:p>
    <w:p w:rsidR="005433DF" w:rsidRDefault="005433DF" w:rsidP="00817955">
      <w:r>
        <w:t xml:space="preserve">Správu platformy </w:t>
      </w:r>
      <w:proofErr w:type="spellStart"/>
      <w:r w:rsidR="009512ED">
        <w:t>KdB</w:t>
      </w:r>
      <w:proofErr w:type="spellEnd"/>
      <w:r>
        <w:t xml:space="preserve"> </w:t>
      </w:r>
      <w:r w:rsidR="009512ED">
        <w:t>zajišťuje výše zmíněný n</w:t>
      </w:r>
      <w:r>
        <w:t>ákupní úřad spolkového ministerstva vnitra</w:t>
      </w:r>
      <w:r w:rsidR="009512ED">
        <w:t xml:space="preserve"> (tzv. </w:t>
      </w:r>
      <w:proofErr w:type="spellStart"/>
      <w:r w:rsidR="009512ED" w:rsidRPr="00023562">
        <w:rPr>
          <w:rFonts w:eastAsia="Times New Roman"/>
          <w:i/>
          <w:lang w:eastAsia="cs-CZ"/>
        </w:rPr>
        <w:t>Beschaffungsamt</w:t>
      </w:r>
      <w:proofErr w:type="spellEnd"/>
      <w:r w:rsidR="009512ED" w:rsidRPr="00023562">
        <w:rPr>
          <w:rFonts w:eastAsia="Times New Roman"/>
          <w:i/>
          <w:lang w:eastAsia="cs-CZ"/>
        </w:rPr>
        <w:t xml:space="preserve"> des </w:t>
      </w:r>
      <w:proofErr w:type="spellStart"/>
      <w:r w:rsidR="009512ED" w:rsidRPr="00023562">
        <w:rPr>
          <w:rFonts w:eastAsia="Times New Roman"/>
          <w:i/>
          <w:lang w:eastAsia="cs-CZ"/>
        </w:rPr>
        <w:t>Bundesministeriums</w:t>
      </w:r>
      <w:proofErr w:type="spellEnd"/>
      <w:r w:rsidR="009512ED" w:rsidRPr="00023562">
        <w:rPr>
          <w:rFonts w:eastAsia="Times New Roman"/>
          <w:i/>
          <w:lang w:eastAsia="cs-CZ"/>
        </w:rPr>
        <w:t xml:space="preserve"> des </w:t>
      </w:r>
      <w:proofErr w:type="spellStart"/>
      <w:r w:rsidR="009512ED" w:rsidRPr="00023562">
        <w:rPr>
          <w:rFonts w:eastAsia="Times New Roman"/>
          <w:i/>
          <w:lang w:eastAsia="cs-CZ"/>
        </w:rPr>
        <w:t>Innern</w:t>
      </w:r>
      <w:proofErr w:type="spellEnd"/>
      <w:r>
        <w:t>), který koordinuje činnost výše zmíněných centrálních zadavatelů</w:t>
      </w:r>
      <w:r w:rsidR="00E92AC2">
        <w:t xml:space="preserve"> a zajišťuje provoz e-</w:t>
      </w:r>
      <w:proofErr w:type="spellStart"/>
      <w:r w:rsidR="00E92AC2">
        <w:t>shopu</w:t>
      </w:r>
      <w:proofErr w:type="spellEnd"/>
      <w:r w:rsidR="00E92AC2">
        <w:t>.</w:t>
      </w:r>
    </w:p>
    <w:p w:rsidR="005433DF" w:rsidRPr="003B0169" w:rsidRDefault="005433DF" w:rsidP="00817955">
      <w:r>
        <w:lastRenderedPageBreak/>
        <w:t>Přístup do e-</w:t>
      </w:r>
      <w:proofErr w:type="spellStart"/>
      <w:r>
        <w:t>shopu</w:t>
      </w:r>
      <w:proofErr w:type="spellEnd"/>
      <w:r>
        <w:t xml:space="preserve"> </w:t>
      </w:r>
      <w:proofErr w:type="spellStart"/>
      <w:r w:rsidR="00607C54">
        <w:t>KdB</w:t>
      </w:r>
      <w:proofErr w:type="spellEnd"/>
      <w:r>
        <w:t xml:space="preserve"> mají všechny spolkové úřady a instituce, které jsou minimálně z 50% financovány spolkovým rozpočtem</w:t>
      </w:r>
      <w:r w:rsidR="00E92AC2">
        <w:t>,</w:t>
      </w:r>
      <w:r w:rsidR="00E92AC2" w:rsidRPr="00E92AC2">
        <w:t xml:space="preserve"> </w:t>
      </w:r>
      <w:r w:rsidR="00E92AC2" w:rsidRPr="000A3124">
        <w:rPr>
          <w:b/>
        </w:rPr>
        <w:t>nákup však není povinný</w:t>
      </w:r>
      <w:r w:rsidR="00E92AC2">
        <w:t>.</w:t>
      </w:r>
      <w:r>
        <w:t xml:space="preserve"> </w:t>
      </w:r>
      <w:r w:rsidR="00E92AC2">
        <w:t xml:space="preserve">Federální zřízení SRN naopak neumožňuje využívání služeb </w:t>
      </w:r>
      <w:proofErr w:type="spellStart"/>
      <w:r w:rsidR="00E92AC2">
        <w:t>KdB</w:t>
      </w:r>
      <w:proofErr w:type="spellEnd"/>
      <w:r w:rsidR="00E92AC2">
        <w:t xml:space="preserve"> ins</w:t>
      </w:r>
      <w:r>
        <w:t>tituce</w:t>
      </w:r>
      <w:r w:rsidR="00E92AC2">
        <w:t>mi</w:t>
      </w:r>
      <w:r>
        <w:t xml:space="preserve"> na komunální úrovni. </w:t>
      </w:r>
    </w:p>
    <w:p w:rsidR="005433DF" w:rsidRDefault="005433DF" w:rsidP="00817955">
      <w:pPr>
        <w:pStyle w:val="Nadpis2"/>
      </w:pPr>
      <w:bookmarkStart w:id="76" w:name="_Toc402536876"/>
      <w:bookmarkStart w:id="77" w:name="_Toc401683625"/>
      <w:bookmarkStart w:id="78" w:name="_Toc407612400"/>
      <w:bookmarkStart w:id="79" w:name="_Toc411520444"/>
      <w:r>
        <w:t>Způsob nákupu v </w:t>
      </w:r>
      <w:proofErr w:type="spellStart"/>
      <w:r>
        <w:t>Kaufhaus</w:t>
      </w:r>
      <w:proofErr w:type="spellEnd"/>
      <w:r>
        <w:t xml:space="preserve"> des </w:t>
      </w:r>
      <w:proofErr w:type="spellStart"/>
      <w:r>
        <w:t>Bundes</w:t>
      </w:r>
      <w:bookmarkEnd w:id="76"/>
      <w:bookmarkEnd w:id="77"/>
      <w:bookmarkEnd w:id="78"/>
      <w:bookmarkEnd w:id="79"/>
      <w:proofErr w:type="spellEnd"/>
    </w:p>
    <w:p w:rsidR="005433DF" w:rsidRPr="000D1246" w:rsidRDefault="005433DF" w:rsidP="00817955">
      <w:pPr>
        <w:pStyle w:val="Nadpis3"/>
      </w:pPr>
      <w:bookmarkStart w:id="80" w:name="_Toc402536877"/>
      <w:bookmarkStart w:id="81" w:name="_Toc401683626"/>
      <w:bookmarkStart w:id="82" w:name="_Toc407612401"/>
      <w:bookmarkStart w:id="83" w:name="_Toc411520445"/>
      <w:r>
        <w:t>E-</w:t>
      </w:r>
      <w:proofErr w:type="spellStart"/>
      <w:r>
        <w:t>shop</w:t>
      </w:r>
      <w:proofErr w:type="spellEnd"/>
      <w:r>
        <w:t xml:space="preserve"> platformy </w:t>
      </w:r>
      <w:proofErr w:type="spellStart"/>
      <w:r>
        <w:t>Kaufhaus</w:t>
      </w:r>
      <w:proofErr w:type="spellEnd"/>
      <w:r>
        <w:t xml:space="preserve"> des </w:t>
      </w:r>
      <w:proofErr w:type="spellStart"/>
      <w:r>
        <w:t>Bundes</w:t>
      </w:r>
      <w:bookmarkEnd w:id="80"/>
      <w:bookmarkEnd w:id="81"/>
      <w:bookmarkEnd w:id="82"/>
      <w:bookmarkEnd w:id="83"/>
      <w:proofErr w:type="spellEnd"/>
    </w:p>
    <w:p w:rsidR="005433DF" w:rsidRDefault="005433DF" w:rsidP="00817955">
      <w:r>
        <w:t xml:space="preserve">Centrální zadavatelé sdružení </w:t>
      </w:r>
      <w:r w:rsidR="007C233C">
        <w:t>v rámci</w:t>
      </w:r>
      <w:r>
        <w:t xml:space="preserve"> </w:t>
      </w:r>
      <w:proofErr w:type="spellStart"/>
      <w:r w:rsidR="007C233C">
        <w:t>KdB</w:t>
      </w:r>
      <w:proofErr w:type="spellEnd"/>
      <w:r>
        <w:t xml:space="preserve"> uzavírají rámcové smlouvy na dodávku komodit, které jsou v jejich gesci. Ty jsou následně nabízen</w:t>
      </w:r>
      <w:r w:rsidR="00607C54">
        <w:t>y</w:t>
      </w:r>
      <w:r>
        <w:t xml:space="preserve"> na e-</w:t>
      </w:r>
      <w:proofErr w:type="spellStart"/>
      <w:r>
        <w:t>shopu</w:t>
      </w:r>
      <w:proofErr w:type="spellEnd"/>
      <w:r>
        <w:t xml:space="preserve"> </w:t>
      </w:r>
      <w:proofErr w:type="spellStart"/>
      <w:r w:rsidR="00607C54">
        <w:t>KdB</w:t>
      </w:r>
      <w:proofErr w:type="spellEnd"/>
      <w:r>
        <w:t xml:space="preserve">. </w:t>
      </w:r>
      <w:r w:rsidR="009A11E9">
        <w:t>Kompletní přehled komodit, na které jsou uzavřeny rámcové smlouvy, včetně informace o organizaci, která nákup dané komodity zabezpečuje, a</w:t>
      </w:r>
      <w:r w:rsidR="007161F2">
        <w:t> </w:t>
      </w:r>
      <w:r w:rsidR="009A11E9">
        <w:t>termínu účinnosti smlouvy, je zveřejněn</w:t>
      </w:r>
      <w:r w:rsidR="000A3124">
        <w:t xml:space="preserve"> na webových stránkách </w:t>
      </w:r>
      <w:proofErr w:type="spellStart"/>
      <w:r w:rsidR="000A3124">
        <w:t>KdB</w:t>
      </w:r>
      <w:proofErr w:type="spellEnd"/>
      <w:r w:rsidR="009A11E9">
        <w:rPr>
          <w:rStyle w:val="Znakapoznpodarou"/>
        </w:rPr>
        <w:footnoteReference w:id="14"/>
      </w:r>
      <w:r w:rsidR="009A11E9">
        <w:t xml:space="preserve">. </w:t>
      </w:r>
    </w:p>
    <w:p w:rsidR="005433DF" w:rsidRDefault="009A11E9" w:rsidP="00817955">
      <w:r>
        <w:t xml:space="preserve">Výběr </w:t>
      </w:r>
      <w:r w:rsidR="005433DF">
        <w:t>dodavatele</w:t>
      </w:r>
      <w:r>
        <w:t xml:space="preserve">, se kterým je uzavřena rámcová smlouva, </w:t>
      </w:r>
      <w:r w:rsidR="005433DF">
        <w:t xml:space="preserve">nejčastěji </w:t>
      </w:r>
      <w:r>
        <w:t xml:space="preserve">probíhá </w:t>
      </w:r>
      <w:r w:rsidR="005433DF">
        <w:t xml:space="preserve">formou otevřeného výběrového řízení </w:t>
      </w:r>
      <w:r>
        <w:t>v</w:t>
      </w:r>
      <w:r w:rsidR="005433DF">
        <w:t xml:space="preserve"> elektronické</w:t>
      </w:r>
      <w:r>
        <w:t>m</w:t>
      </w:r>
      <w:r w:rsidR="005433DF">
        <w:t xml:space="preserve"> systému </w:t>
      </w:r>
      <w:r>
        <w:t>e-</w:t>
      </w:r>
      <w:proofErr w:type="spellStart"/>
      <w:r>
        <w:t>Vergabe</w:t>
      </w:r>
      <w:proofErr w:type="spellEnd"/>
      <w:r>
        <w:rPr>
          <w:rStyle w:val="Znakapoznpodarou"/>
        </w:rPr>
        <w:footnoteReference w:id="15"/>
      </w:r>
      <w:r>
        <w:t>.</w:t>
      </w:r>
      <w:r w:rsidR="005433DF">
        <w:t xml:space="preserve"> Jiné druhy výběrového řízení (jako např. uzavřeného řízení) jsou uplatňovány zřídka. Vždy však musí soutěž proběhnout pomocí elektronického systému e-</w:t>
      </w:r>
      <w:proofErr w:type="spellStart"/>
      <w:r w:rsidR="005433DF">
        <w:t>Vergabe</w:t>
      </w:r>
      <w:proofErr w:type="spellEnd"/>
      <w:r w:rsidR="005433DF">
        <w:t>. Jednotlivé tendry jsou rozdělovány nejenom podle jednotlivých typů zboží, ale také územní příslušnosti (jedná se o jistou snahu o podporu malých a středních podniků).</w:t>
      </w:r>
    </w:p>
    <w:p w:rsidR="005433DF" w:rsidRDefault="005433DF" w:rsidP="00817955">
      <w:pPr>
        <w:pStyle w:val="Nadpis2"/>
      </w:pPr>
      <w:bookmarkStart w:id="84" w:name="_Toc402536878"/>
      <w:bookmarkStart w:id="85" w:name="_Toc401683627"/>
      <w:bookmarkStart w:id="86" w:name="_Toc407612402"/>
      <w:bookmarkStart w:id="87" w:name="_Toc411520446"/>
      <w:r>
        <w:t>Efektivita</w:t>
      </w:r>
      <w:bookmarkEnd w:id="84"/>
      <w:bookmarkEnd w:id="85"/>
      <w:bookmarkEnd w:id="86"/>
      <w:bookmarkEnd w:id="87"/>
    </w:p>
    <w:p w:rsidR="005433DF" w:rsidRDefault="00D4286F" w:rsidP="00817955">
      <w:r>
        <w:t>V současné době</w:t>
      </w:r>
      <w:r w:rsidR="005433DF">
        <w:t xml:space="preserve"> je v systému </w:t>
      </w:r>
      <w:proofErr w:type="spellStart"/>
      <w:r w:rsidR="005433DF">
        <w:t>K</w:t>
      </w:r>
      <w:r>
        <w:t>dB</w:t>
      </w:r>
      <w:proofErr w:type="spellEnd"/>
      <w:r w:rsidR="005433DF">
        <w:t xml:space="preserve"> registrováno přibližně 11 000 uživatelů, z toho cca 480 spolkových úřadů a přidružených organizací</w:t>
      </w:r>
      <w:r>
        <w:t xml:space="preserve">, zbytek pak představují </w:t>
      </w:r>
      <w:r w:rsidR="000A3124">
        <w:t>dodavatelé</w:t>
      </w:r>
      <w:r w:rsidR="005433DF">
        <w:t xml:space="preserve">. </w:t>
      </w:r>
      <w:proofErr w:type="spellStart"/>
      <w:r w:rsidR="005433DF">
        <w:t>KdB</w:t>
      </w:r>
      <w:proofErr w:type="spellEnd"/>
      <w:r w:rsidR="005433DF">
        <w:t xml:space="preserve"> umožňuje nákup celkem 70 000 různých položek, které jsou nabízeny na základě více jak 450 rámcových smluv. Objem zakázek uzavřených prostřednictvím </w:t>
      </w:r>
      <w:proofErr w:type="spellStart"/>
      <w:r w:rsidR="005433DF">
        <w:t>KdB</w:t>
      </w:r>
      <w:proofErr w:type="spellEnd"/>
      <w:r w:rsidR="005433DF">
        <w:t xml:space="preserve"> každým rokem zvětšuje. Zatímco v roce 2008 činil obrat </w:t>
      </w:r>
      <w:proofErr w:type="spellStart"/>
      <w:r>
        <w:t>KdB</w:t>
      </w:r>
      <w:proofErr w:type="spellEnd"/>
      <w:r w:rsidR="005433DF">
        <w:t xml:space="preserve"> </w:t>
      </w:r>
      <w:r>
        <w:t>cca</w:t>
      </w:r>
      <w:r w:rsidR="005433DF">
        <w:t xml:space="preserve"> </w:t>
      </w:r>
      <w:r>
        <w:t>24 </w:t>
      </w:r>
      <w:r w:rsidR="005433DF">
        <w:t xml:space="preserve">milionů </w:t>
      </w:r>
      <w:r>
        <w:t xml:space="preserve">EUR, </w:t>
      </w:r>
      <w:r w:rsidR="005433DF">
        <w:t xml:space="preserve">v roce 2013 to bylo již cca 145 milionů </w:t>
      </w:r>
      <w:r>
        <w:t>EUR.</w:t>
      </w:r>
    </w:p>
    <w:p w:rsidR="006F6125" w:rsidRDefault="004503FE" w:rsidP="00817955">
      <w:r>
        <w:t xml:space="preserve">S cílem posoudit efektivitu centralizovaného zadávání byla v r. 2009 zpracována analýza, která však shrnovala výsledky průzkumu </w:t>
      </w:r>
      <w:r w:rsidR="00607C54">
        <w:t xml:space="preserve">pouze </w:t>
      </w:r>
      <w:r>
        <w:t>mezi cca 20 dodavateli</w:t>
      </w:r>
      <w:r>
        <w:rPr>
          <w:rStyle w:val="Znakapoznpodarou"/>
        </w:rPr>
        <w:footnoteReference w:id="16"/>
      </w:r>
      <w:r>
        <w:t xml:space="preserve">. </w:t>
      </w:r>
      <w:r w:rsidR="006F6125">
        <w:t xml:space="preserve">Dle </w:t>
      </w:r>
      <w:r>
        <w:t xml:space="preserve">této </w:t>
      </w:r>
      <w:r w:rsidR="006F6125">
        <w:t xml:space="preserve">analýzy byly </w:t>
      </w:r>
      <w:r w:rsidR="006F6125" w:rsidRPr="007818A2">
        <w:rPr>
          <w:b/>
        </w:rPr>
        <w:t xml:space="preserve">díky centralizaci nákupu dosaženy v průměru úspory na úrovni 24,17 % z jednotkové ceny </w:t>
      </w:r>
      <w:r w:rsidR="00607C54">
        <w:rPr>
          <w:b/>
        </w:rPr>
        <w:t>příslušného</w:t>
      </w:r>
      <w:r w:rsidR="006F6125" w:rsidRPr="007818A2">
        <w:rPr>
          <w:b/>
        </w:rPr>
        <w:t xml:space="preserve"> produktu</w:t>
      </w:r>
      <w:r w:rsidR="006F6125">
        <w:t xml:space="preserve">. </w:t>
      </w:r>
      <w:r>
        <w:t>N</w:t>
      </w:r>
      <w:r w:rsidR="006F6125">
        <w:t xml:space="preserve">ejvětší úspory </w:t>
      </w:r>
      <w:r>
        <w:t xml:space="preserve">byly přitom </w:t>
      </w:r>
      <w:r w:rsidR="006F6125">
        <w:t xml:space="preserve">dosaženy při nákupu tonerů (snížení jednotkové ceny o 57,87 % - 79,02 %), naopak minimální vliv měla centralizace nákupu na cenu pořízeného počítače (úspora cca 5 % na jeden kus). </w:t>
      </w:r>
      <w:r w:rsidR="008E0298">
        <w:t xml:space="preserve">Pouze v ojedinělých případech nebyla cena produktu při centralizovaném zadávání v porovnání s průměrnou cenou jednotlivých úřadů za danou komoditu </w:t>
      </w:r>
      <w:r w:rsidR="00607C54">
        <w:t xml:space="preserve">výhodnější </w:t>
      </w:r>
      <w:r w:rsidR="008E0298">
        <w:t xml:space="preserve">(jednalo se např. o dílčí specifikaci osobního počítače). </w:t>
      </w:r>
    </w:p>
    <w:p w:rsidR="005433DF" w:rsidRDefault="005433DF" w:rsidP="007818A2">
      <w:pPr>
        <w:jc w:val="left"/>
      </w:pPr>
    </w:p>
    <w:p w:rsidR="005433DF" w:rsidRDefault="005433DF" w:rsidP="00817955">
      <w:pPr>
        <w:pStyle w:val="Nadpis1"/>
      </w:pPr>
      <w:bookmarkStart w:id="88" w:name="_Toc401683633"/>
      <w:bookmarkStart w:id="89" w:name="_Toc402536880"/>
      <w:bookmarkStart w:id="90" w:name="_Toc407612404"/>
      <w:bookmarkStart w:id="91" w:name="_Toc411520447"/>
      <w:r>
        <w:lastRenderedPageBreak/>
        <w:t>Francie</w:t>
      </w:r>
      <w:bookmarkEnd w:id="88"/>
      <w:bookmarkEnd w:id="89"/>
      <w:r>
        <w:rPr>
          <w:rStyle w:val="Znakapoznpodarou"/>
        </w:rPr>
        <w:footnoteReference w:id="17"/>
      </w:r>
      <w:bookmarkEnd w:id="90"/>
      <w:bookmarkEnd w:id="91"/>
    </w:p>
    <w:p w:rsidR="00607C54" w:rsidRDefault="005433DF" w:rsidP="00817955">
      <w:r>
        <w:t>Ve Francii působí dvě instituce, které mají na starosti centrální nákup pro státní správu</w:t>
      </w:r>
      <w:r w:rsidR="00607C54">
        <w:t>:</w:t>
      </w:r>
    </w:p>
    <w:p w:rsidR="00607C54" w:rsidRDefault="005433DF" w:rsidP="00607C54">
      <w:pPr>
        <w:pStyle w:val="Odstavecseseznamem"/>
        <w:numPr>
          <w:ilvl w:val="0"/>
          <w:numId w:val="29"/>
        </w:numPr>
      </w:pPr>
      <w:proofErr w:type="spellStart"/>
      <w:r w:rsidRPr="00607C54">
        <w:rPr>
          <w:i/>
        </w:rPr>
        <w:t>Service</w:t>
      </w:r>
      <w:proofErr w:type="spellEnd"/>
      <w:r w:rsidRPr="00607C54">
        <w:rPr>
          <w:i/>
        </w:rPr>
        <w:t xml:space="preserve"> des </w:t>
      </w:r>
      <w:proofErr w:type="spellStart"/>
      <w:r w:rsidRPr="00607C54">
        <w:rPr>
          <w:i/>
        </w:rPr>
        <w:t>achats</w:t>
      </w:r>
      <w:proofErr w:type="spellEnd"/>
      <w:r w:rsidRPr="00607C54">
        <w:rPr>
          <w:i/>
        </w:rPr>
        <w:t xml:space="preserve"> de </w:t>
      </w:r>
      <w:proofErr w:type="spellStart"/>
      <w:r w:rsidRPr="00607C54">
        <w:rPr>
          <w:i/>
        </w:rPr>
        <w:t>l’Etat</w:t>
      </w:r>
      <w:proofErr w:type="spellEnd"/>
      <w:r w:rsidR="00607C54">
        <w:t xml:space="preserve"> (dále jen SAE);</w:t>
      </w:r>
    </w:p>
    <w:p w:rsidR="00607C54" w:rsidRDefault="004E4B53" w:rsidP="00607C54">
      <w:pPr>
        <w:pStyle w:val="Odstavecseseznamem"/>
        <w:numPr>
          <w:ilvl w:val="0"/>
          <w:numId w:val="29"/>
        </w:numPr>
      </w:pPr>
      <w:r w:rsidRPr="00FD12D6">
        <w:rPr>
          <w:i/>
        </w:rPr>
        <w:t xml:space="preserve">Union des </w:t>
      </w:r>
      <w:proofErr w:type="spellStart"/>
      <w:r w:rsidRPr="00FD12D6">
        <w:rPr>
          <w:i/>
        </w:rPr>
        <w:t>groupements</w:t>
      </w:r>
      <w:proofErr w:type="spellEnd"/>
      <w:r w:rsidRPr="00FD12D6">
        <w:rPr>
          <w:i/>
        </w:rPr>
        <w:t xml:space="preserve"> </w:t>
      </w:r>
      <w:proofErr w:type="spellStart"/>
      <w:r w:rsidRPr="00FD12D6">
        <w:rPr>
          <w:i/>
        </w:rPr>
        <w:t>d’achats</w:t>
      </w:r>
      <w:proofErr w:type="spellEnd"/>
      <w:r w:rsidRPr="00FD12D6">
        <w:rPr>
          <w:i/>
        </w:rPr>
        <w:t xml:space="preserve"> </w:t>
      </w:r>
      <w:proofErr w:type="spellStart"/>
      <w:r w:rsidRPr="00FD12D6">
        <w:rPr>
          <w:i/>
        </w:rPr>
        <w:t>publics</w:t>
      </w:r>
      <w:proofErr w:type="spellEnd"/>
      <w:r w:rsidR="00607C54">
        <w:t xml:space="preserve"> (dále jen UGAP</w:t>
      </w:r>
      <w:r>
        <w:t>)</w:t>
      </w:r>
      <w:r w:rsidR="005433DF">
        <w:t xml:space="preserve">. </w:t>
      </w:r>
    </w:p>
    <w:p w:rsidR="005433DF" w:rsidRDefault="00FD12D6" w:rsidP="00607C54">
      <w:r>
        <w:t>Výše uvedené o</w:t>
      </w:r>
      <w:r w:rsidR="005433DF">
        <w:t>rganizace se mezi sebou liší především rozdílnou oblastí působnosti a typem zřízení.</w:t>
      </w:r>
    </w:p>
    <w:p w:rsidR="004E4B53" w:rsidRDefault="004E4B53" w:rsidP="004E4B53">
      <w:pPr>
        <w:pStyle w:val="Nadpis2"/>
      </w:pPr>
      <w:bookmarkStart w:id="92" w:name="_Toc407612408"/>
      <w:bookmarkStart w:id="93" w:name="_Toc411520448"/>
      <w:bookmarkStart w:id="94" w:name="_Toc407612405"/>
      <w:proofErr w:type="spellStart"/>
      <w:r w:rsidRPr="00E24767">
        <w:t>Service</w:t>
      </w:r>
      <w:proofErr w:type="spellEnd"/>
      <w:r w:rsidRPr="00E24767">
        <w:t xml:space="preserve"> des </w:t>
      </w:r>
      <w:proofErr w:type="spellStart"/>
      <w:r w:rsidRPr="00E24767">
        <w:t>achats</w:t>
      </w:r>
      <w:proofErr w:type="spellEnd"/>
      <w:r w:rsidRPr="00E24767">
        <w:t xml:space="preserve"> de </w:t>
      </w:r>
      <w:proofErr w:type="spellStart"/>
      <w:r w:rsidRPr="00E24767">
        <w:t>l’Etat</w:t>
      </w:r>
      <w:bookmarkEnd w:id="92"/>
      <w:bookmarkEnd w:id="93"/>
      <w:proofErr w:type="spellEnd"/>
      <w:r w:rsidRPr="00E24767">
        <w:t xml:space="preserve"> </w:t>
      </w:r>
    </w:p>
    <w:p w:rsidR="004E4B53" w:rsidRDefault="004E4B53" w:rsidP="004E4B53">
      <w:r>
        <w:t xml:space="preserve">Společnost </w:t>
      </w:r>
      <w:proofErr w:type="spellStart"/>
      <w:r w:rsidRPr="00023562">
        <w:rPr>
          <w:i/>
        </w:rPr>
        <w:t>Service</w:t>
      </w:r>
      <w:proofErr w:type="spellEnd"/>
      <w:r w:rsidRPr="00023562">
        <w:rPr>
          <w:i/>
        </w:rPr>
        <w:t xml:space="preserve"> des </w:t>
      </w:r>
      <w:proofErr w:type="spellStart"/>
      <w:r w:rsidRPr="00023562">
        <w:rPr>
          <w:i/>
        </w:rPr>
        <w:t>achats</w:t>
      </w:r>
      <w:proofErr w:type="spellEnd"/>
      <w:r w:rsidRPr="00023562">
        <w:rPr>
          <w:i/>
        </w:rPr>
        <w:t xml:space="preserve"> de </w:t>
      </w:r>
      <w:proofErr w:type="spellStart"/>
      <w:r w:rsidRPr="00023562">
        <w:rPr>
          <w:i/>
        </w:rPr>
        <w:t>l’Etat</w:t>
      </w:r>
      <w:proofErr w:type="spellEnd"/>
      <w:r w:rsidRPr="00C00A76">
        <w:t xml:space="preserve"> byla založena v roce 2009 dekretem </w:t>
      </w:r>
      <w:r>
        <w:t>č.</w:t>
      </w:r>
      <w:r w:rsidRPr="00C00A76">
        <w:t xml:space="preserve"> 2009-300</w:t>
      </w:r>
      <w:r>
        <w:t xml:space="preserve">, je financovaná státem </w:t>
      </w:r>
      <w:r w:rsidRPr="00C00A76">
        <w:t xml:space="preserve">a organizačně spadá pod ministerstvo </w:t>
      </w:r>
      <w:r>
        <w:t>financí</w:t>
      </w:r>
      <w:r w:rsidRPr="00C00A76">
        <w:t>.</w:t>
      </w:r>
      <w:r>
        <w:t xml:space="preserve"> </w:t>
      </w:r>
      <w:r w:rsidRPr="00C00A76">
        <w:t>Jejím úk</w:t>
      </w:r>
      <w:r>
        <w:t xml:space="preserve">olem je definovat a implementovat strategie společného nákupu francouzských centrálních státních institucí (ministerstev a jim podřízených organizací). </w:t>
      </w:r>
    </w:p>
    <w:p w:rsidR="004E4B53" w:rsidRDefault="004E4B53" w:rsidP="004E4B53">
      <w:r>
        <w:t>Činnost SAE řídí dvě rady – rada nákupu (</w:t>
      </w:r>
      <w:proofErr w:type="spellStart"/>
      <w:r w:rsidRPr="00023562">
        <w:rPr>
          <w:i/>
        </w:rPr>
        <w:t>Comité</w:t>
      </w:r>
      <w:proofErr w:type="spellEnd"/>
      <w:r w:rsidRPr="00023562">
        <w:rPr>
          <w:i/>
        </w:rPr>
        <w:t xml:space="preserve"> des </w:t>
      </w:r>
      <w:proofErr w:type="spellStart"/>
      <w:r w:rsidRPr="00023562">
        <w:rPr>
          <w:i/>
        </w:rPr>
        <w:t>achats</w:t>
      </w:r>
      <w:proofErr w:type="spellEnd"/>
      <w:r>
        <w:t>) a řídící rada (</w:t>
      </w:r>
      <w:proofErr w:type="spellStart"/>
      <w:r w:rsidRPr="00023562">
        <w:rPr>
          <w:i/>
        </w:rPr>
        <w:t>Comité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d´orientation</w:t>
      </w:r>
      <w:proofErr w:type="spellEnd"/>
      <w:r>
        <w:t xml:space="preserve">). Rada nákupu se skládá z 30 profesionálních nákupčích a vedoucích nákupních oddělení jednotlivých ministerstev. </w:t>
      </w:r>
      <w:r w:rsidR="00FD12D6">
        <w:t>Odpovídají za</w:t>
      </w:r>
      <w:r>
        <w:t xml:space="preserve"> vyví</w:t>
      </w:r>
      <w:r w:rsidR="00FD12D6">
        <w:t>jení</w:t>
      </w:r>
      <w:r>
        <w:t xml:space="preserve"> nákupní</w:t>
      </w:r>
      <w:r w:rsidR="00FD12D6">
        <w:t>ch</w:t>
      </w:r>
      <w:r>
        <w:t xml:space="preserve"> strategi</w:t>
      </w:r>
      <w:r w:rsidR="00FD12D6">
        <w:t>í</w:t>
      </w:r>
      <w:r>
        <w:t xml:space="preserve"> a </w:t>
      </w:r>
      <w:r w:rsidR="00FD12D6">
        <w:t>přípravu</w:t>
      </w:r>
      <w:r>
        <w:t xml:space="preserve"> návrh</w:t>
      </w:r>
      <w:r w:rsidR="00FD12D6">
        <w:t>ů</w:t>
      </w:r>
      <w:r>
        <w:t xml:space="preserve"> na zlepšení efektivity centrálního nákupu. Řídící rada je složena ze zástupců parlamentu a ministerstev ekonomiky, rozpočtu, obrany, vnitra a udržitelného rozvoje. </w:t>
      </w:r>
      <w:r w:rsidR="00FD12D6">
        <w:t>Řídící rada dohlíží</w:t>
      </w:r>
      <w:r>
        <w:t xml:space="preserve"> na činnost Rady nákupu a ředitele SAE. </w:t>
      </w:r>
    </w:p>
    <w:p w:rsidR="004E4B53" w:rsidRDefault="004E4B53" w:rsidP="004E4B53">
      <w:pPr>
        <w:pStyle w:val="Nadpis3"/>
      </w:pPr>
      <w:bookmarkStart w:id="95" w:name="_Toc407612409"/>
      <w:bookmarkStart w:id="96" w:name="_Toc411520449"/>
      <w:r>
        <w:t>Rozsah činnosti SAE</w:t>
      </w:r>
      <w:bookmarkEnd w:id="95"/>
      <w:bookmarkEnd w:id="96"/>
    </w:p>
    <w:p w:rsidR="004E4B53" w:rsidRDefault="004E4B53" w:rsidP="004E4B53">
      <w:r w:rsidRPr="004E4B53">
        <w:rPr>
          <w:b/>
        </w:rPr>
        <w:t>Nákup prostřednictvím SAE je povinný pro instituce centrální vlády</w:t>
      </w:r>
      <w:r>
        <w:t>. Organizace, které jsou subjektem veřejného práva (jako např. univerzity), se mohou k centrálnímu nákupu připojit. Standardy pro jednotlivé komodity zpracovává Rada nákupu, která i volí nejvhodnější typ zadávání veřejné zakázky. Nejčastěji se používají rámcové smlouvy.</w:t>
      </w:r>
    </w:p>
    <w:p w:rsidR="004E4B53" w:rsidRDefault="004E4B53" w:rsidP="004E4B53">
      <w:r>
        <w:t>SAE uzavírá v současné době smlouvy v těchto oblastech:</w:t>
      </w:r>
    </w:p>
    <w:p w:rsidR="004E4B53" w:rsidRDefault="004E4B53" w:rsidP="004E4B53">
      <w:pPr>
        <w:pStyle w:val="Odstavecseseznamem"/>
        <w:numPr>
          <w:ilvl w:val="0"/>
          <w:numId w:val="16"/>
        </w:numPr>
      </w:pPr>
      <w:r>
        <w:t>Kancelářský nábytek</w:t>
      </w:r>
      <w:r w:rsidR="00FD12D6">
        <w:t>;</w:t>
      </w:r>
    </w:p>
    <w:p w:rsidR="004E4B53" w:rsidRDefault="004E4B53" w:rsidP="004E4B53">
      <w:pPr>
        <w:pStyle w:val="Odstavecseseznamem"/>
        <w:numPr>
          <w:ilvl w:val="0"/>
          <w:numId w:val="16"/>
        </w:numPr>
      </w:pPr>
      <w:r>
        <w:t>Hardware, software</w:t>
      </w:r>
      <w:r w:rsidR="00FD12D6">
        <w:t>;</w:t>
      </w:r>
    </w:p>
    <w:p w:rsidR="004E4B53" w:rsidRDefault="004E4B53" w:rsidP="004E4B53">
      <w:pPr>
        <w:pStyle w:val="Odstavecseseznamem"/>
        <w:numPr>
          <w:ilvl w:val="0"/>
          <w:numId w:val="16"/>
        </w:numPr>
      </w:pPr>
      <w:r>
        <w:t>Služby v oblasti ICT</w:t>
      </w:r>
      <w:r w:rsidR="00FD12D6">
        <w:t>;</w:t>
      </w:r>
    </w:p>
    <w:p w:rsidR="004E4B53" w:rsidRDefault="004E4B53" w:rsidP="004E4B53">
      <w:pPr>
        <w:pStyle w:val="Odstavecseseznamem"/>
        <w:numPr>
          <w:ilvl w:val="0"/>
          <w:numId w:val="16"/>
        </w:numPr>
      </w:pPr>
      <w:r>
        <w:t>Doprava</w:t>
      </w:r>
      <w:r w:rsidR="00FD12D6">
        <w:t>;</w:t>
      </w:r>
    </w:p>
    <w:p w:rsidR="004E4B53" w:rsidRDefault="004E4B53" w:rsidP="004E4B53">
      <w:pPr>
        <w:pStyle w:val="Odstavecseseznamem"/>
        <w:numPr>
          <w:ilvl w:val="0"/>
          <w:numId w:val="16"/>
        </w:numPr>
      </w:pPr>
      <w:r>
        <w:t>Správa budov</w:t>
      </w:r>
      <w:r w:rsidR="00FD12D6">
        <w:t>;</w:t>
      </w:r>
    </w:p>
    <w:p w:rsidR="004E4B53" w:rsidRDefault="004E4B53" w:rsidP="004E4B53">
      <w:pPr>
        <w:pStyle w:val="Odstavecseseznamem"/>
        <w:numPr>
          <w:ilvl w:val="0"/>
          <w:numId w:val="16"/>
        </w:numPr>
      </w:pPr>
      <w:r>
        <w:t>Vozový park</w:t>
      </w:r>
      <w:r w:rsidR="00FD12D6">
        <w:t>;</w:t>
      </w:r>
    </w:p>
    <w:p w:rsidR="004E4B53" w:rsidRDefault="004E4B53" w:rsidP="004E4B53">
      <w:pPr>
        <w:pStyle w:val="Odstavecseseznamem"/>
        <w:numPr>
          <w:ilvl w:val="0"/>
          <w:numId w:val="16"/>
        </w:numPr>
      </w:pPr>
      <w:r>
        <w:t>Energie a pohonné hmoty</w:t>
      </w:r>
      <w:r w:rsidR="00FD12D6">
        <w:t>;</w:t>
      </w:r>
    </w:p>
    <w:p w:rsidR="004E4B53" w:rsidRDefault="004E4B53" w:rsidP="004E4B53">
      <w:pPr>
        <w:pStyle w:val="Odstavecseseznamem"/>
        <w:numPr>
          <w:ilvl w:val="0"/>
          <w:numId w:val="16"/>
        </w:numPr>
      </w:pPr>
      <w:r>
        <w:t>Tisk a tiskařské služby</w:t>
      </w:r>
      <w:r w:rsidR="00FD12D6">
        <w:t>;</w:t>
      </w:r>
    </w:p>
    <w:p w:rsidR="004E4B53" w:rsidRDefault="004E4B53" w:rsidP="004E4B53">
      <w:pPr>
        <w:pStyle w:val="Odstavecseseznamem"/>
        <w:numPr>
          <w:ilvl w:val="0"/>
          <w:numId w:val="16"/>
        </w:numPr>
      </w:pPr>
      <w:r>
        <w:t>Finanční služby</w:t>
      </w:r>
      <w:r w:rsidR="00FD12D6">
        <w:t>.</w:t>
      </w:r>
    </w:p>
    <w:p w:rsidR="004E4B53" w:rsidRDefault="004E4B53" w:rsidP="004E4B53">
      <w:r>
        <w:t>SAE uzavírá rámcové smlouvy za centrální státní instituce, které na jejich základě uzavírají konkrétní smlouvy s dodavateli.</w:t>
      </w:r>
    </w:p>
    <w:p w:rsidR="004E4B53" w:rsidRDefault="004E4B53" w:rsidP="004E4B53">
      <w:r>
        <w:t xml:space="preserve">Dle analýzy OECD z roku 2011 dosáhly </w:t>
      </w:r>
      <w:r w:rsidRPr="004E4B53">
        <w:rPr>
          <w:b/>
        </w:rPr>
        <w:t>úspory díky centrálnímu nákupu státu prostřednictvím SAE v</w:t>
      </w:r>
      <w:r>
        <w:rPr>
          <w:b/>
        </w:rPr>
        <w:t> </w:t>
      </w:r>
      <w:r w:rsidRPr="004E4B53">
        <w:rPr>
          <w:b/>
        </w:rPr>
        <w:t>období 2009-2011 cca 10 % nákladů</w:t>
      </w:r>
      <w:r>
        <w:t xml:space="preserve">. </w:t>
      </w:r>
    </w:p>
    <w:p w:rsidR="005433DF" w:rsidRPr="002C137C" w:rsidRDefault="005433DF" w:rsidP="00817955">
      <w:pPr>
        <w:pStyle w:val="Nadpis2"/>
      </w:pPr>
      <w:bookmarkStart w:id="97" w:name="_Toc411520450"/>
      <w:r w:rsidRPr="002C137C">
        <w:lastRenderedPageBreak/>
        <w:t xml:space="preserve">Union des </w:t>
      </w:r>
      <w:proofErr w:type="spellStart"/>
      <w:r w:rsidRPr="002C137C">
        <w:t>groupements</w:t>
      </w:r>
      <w:proofErr w:type="spellEnd"/>
      <w:r w:rsidRPr="002C137C">
        <w:t xml:space="preserve"> </w:t>
      </w:r>
      <w:proofErr w:type="spellStart"/>
      <w:r w:rsidRPr="002C137C">
        <w:t>d’achats</w:t>
      </w:r>
      <w:proofErr w:type="spellEnd"/>
      <w:r w:rsidRPr="002C137C">
        <w:t xml:space="preserve"> </w:t>
      </w:r>
      <w:proofErr w:type="spellStart"/>
      <w:r w:rsidRPr="002C137C">
        <w:t>publics</w:t>
      </w:r>
      <w:bookmarkEnd w:id="94"/>
      <w:bookmarkEnd w:id="97"/>
      <w:proofErr w:type="spellEnd"/>
    </w:p>
    <w:p w:rsidR="005433DF" w:rsidRPr="00C3386A" w:rsidRDefault="005433DF" w:rsidP="00817955">
      <w:r>
        <w:t xml:space="preserve">UGAP je veřejná instituce, která byla založena na základě zákona </w:t>
      </w:r>
      <w:r w:rsidRPr="00023562">
        <w:rPr>
          <w:i/>
        </w:rPr>
        <w:t xml:space="preserve">Etablissement Public </w:t>
      </w:r>
      <w:proofErr w:type="spellStart"/>
      <w:r w:rsidRPr="00023562">
        <w:rPr>
          <w:i/>
        </w:rPr>
        <w:t>Industriel</w:t>
      </w:r>
      <w:proofErr w:type="spellEnd"/>
      <w:r w:rsidRPr="00023562">
        <w:rPr>
          <w:i/>
        </w:rPr>
        <w:t xml:space="preserve"> et </w:t>
      </w:r>
      <w:proofErr w:type="spellStart"/>
      <w:r w:rsidRPr="00023562">
        <w:rPr>
          <w:i/>
        </w:rPr>
        <w:t>Commercial</w:t>
      </w:r>
      <w:proofErr w:type="spellEnd"/>
      <w:r>
        <w:t xml:space="preserve"> v roce 1985. V jejím čele stojí rada ředitelů, která má 18 členů. </w:t>
      </w:r>
      <w:r w:rsidR="00FD12D6">
        <w:t>Šest členů</w:t>
      </w:r>
      <w:r>
        <w:t xml:space="preserve"> </w:t>
      </w:r>
      <w:r w:rsidR="00FD12D6">
        <w:t xml:space="preserve">jmenuje </w:t>
      </w:r>
      <w:r>
        <w:t>centrální vlád</w:t>
      </w:r>
      <w:r w:rsidR="00FD12D6">
        <w:t>a</w:t>
      </w:r>
      <w:r>
        <w:t xml:space="preserve"> (jednoho člena jmenují ministerstva financí, zdravotnictví, vzdělávání, obrany a vnitra), </w:t>
      </w:r>
      <w:r w:rsidR="00FD12D6">
        <w:t>šest členů</w:t>
      </w:r>
      <w:r>
        <w:t xml:space="preserve"> premiér a </w:t>
      </w:r>
      <w:r w:rsidR="00FD12D6">
        <w:t>zbývajících 6 členů</w:t>
      </w:r>
      <w:r>
        <w:t xml:space="preserve"> zaměstnanci UGAP. </w:t>
      </w:r>
      <w:r w:rsidR="00C026CD">
        <w:t xml:space="preserve">V čele UGAP pak stojí předseda zvolený </w:t>
      </w:r>
      <w:r w:rsidR="00FD12D6">
        <w:t>členy</w:t>
      </w:r>
      <w:r w:rsidR="00C026CD">
        <w:t xml:space="preserve"> rady. </w:t>
      </w:r>
      <w:r>
        <w:t>V současné době má UGAP celkem 1</w:t>
      </w:r>
      <w:r w:rsidR="00C026CD">
        <w:t> </w:t>
      </w:r>
      <w:r>
        <w:t xml:space="preserve">168 zaměstnanců, z toho 569 </w:t>
      </w:r>
      <w:r w:rsidR="00C026CD">
        <w:t xml:space="preserve">zaměstnanců </w:t>
      </w:r>
      <w:r>
        <w:t xml:space="preserve">se stará přímo o nákup. V roce 2013 činila celková hodnota zboží a služeb nakoupených </w:t>
      </w:r>
      <w:r w:rsidR="00C026CD">
        <w:t xml:space="preserve">prostřednictvím </w:t>
      </w:r>
      <w:r>
        <w:t xml:space="preserve">UGAP 1,91 miliardy </w:t>
      </w:r>
      <w:r w:rsidR="00C026CD">
        <w:t>EUR.</w:t>
      </w:r>
    </w:p>
    <w:p w:rsidR="005433DF" w:rsidRDefault="005433DF" w:rsidP="00817955">
      <w:pPr>
        <w:pStyle w:val="Nadpis3"/>
      </w:pPr>
      <w:bookmarkStart w:id="98" w:name="_Toc401229443"/>
      <w:bookmarkStart w:id="99" w:name="_Toc402536881"/>
      <w:bookmarkStart w:id="100" w:name="_Toc401683634"/>
      <w:bookmarkStart w:id="101" w:name="_Toc407612406"/>
      <w:bookmarkStart w:id="102" w:name="_Toc411520451"/>
      <w:r>
        <w:t xml:space="preserve">Rozsah činnosti </w:t>
      </w:r>
      <w:bookmarkEnd w:id="98"/>
      <w:bookmarkEnd w:id="99"/>
      <w:bookmarkEnd w:id="100"/>
      <w:r>
        <w:t>UGAP</w:t>
      </w:r>
      <w:bookmarkEnd w:id="101"/>
      <w:bookmarkEnd w:id="102"/>
    </w:p>
    <w:p w:rsidR="00F21391" w:rsidRDefault="005433DF" w:rsidP="00817955">
      <w:r>
        <w:t xml:space="preserve">UGAP zprostředkovává nákup zboží a služeb </w:t>
      </w:r>
      <w:r w:rsidR="00C026CD">
        <w:t xml:space="preserve">pro subjekty </w:t>
      </w:r>
      <w:r>
        <w:t>francouzsk</w:t>
      </w:r>
      <w:r w:rsidR="00C026CD">
        <w:t>é</w:t>
      </w:r>
      <w:r>
        <w:t xml:space="preserve"> státní správ</w:t>
      </w:r>
      <w:r w:rsidR="00C026CD">
        <w:t>y</w:t>
      </w:r>
      <w:r>
        <w:t xml:space="preserve"> a její</w:t>
      </w:r>
      <w:r w:rsidR="00C026CD">
        <w:t xml:space="preserve"> příspěvkové organizace</w:t>
      </w:r>
      <w:r>
        <w:t xml:space="preserve">. </w:t>
      </w:r>
      <w:r w:rsidR="00F21391" w:rsidRPr="007818A2">
        <w:rPr>
          <w:b/>
        </w:rPr>
        <w:t xml:space="preserve">Nákup přes UGAP </w:t>
      </w:r>
      <w:r w:rsidR="00F21391">
        <w:rPr>
          <w:b/>
        </w:rPr>
        <w:t xml:space="preserve">však </w:t>
      </w:r>
      <w:r w:rsidR="00F21391" w:rsidRPr="007818A2">
        <w:rPr>
          <w:b/>
        </w:rPr>
        <w:t>není pro státní instituce povinný</w:t>
      </w:r>
      <w:r w:rsidR="00F21391">
        <w:t xml:space="preserve">. </w:t>
      </w:r>
    </w:p>
    <w:p w:rsidR="00F21391" w:rsidRDefault="005433DF" w:rsidP="00817955">
      <w:r>
        <w:t>Na rozdíl o jiných centrálních zadavatelů v Evropě neuzavírá UGAP smlouvy s dodavateli jménem státních institucí, ale zboží přímo od dodavatelů nakupuje. Následně takto nakoupené zboží a služby nabízí státním institucím ve svém e-</w:t>
      </w:r>
      <w:proofErr w:type="spellStart"/>
      <w:r>
        <w:t>shopu</w:t>
      </w:r>
      <w:proofErr w:type="spellEnd"/>
      <w:r w:rsidR="003E1762">
        <w:rPr>
          <w:rStyle w:val="Znakapoznpodarou"/>
        </w:rPr>
        <w:footnoteReference w:id="18"/>
      </w:r>
      <w:r>
        <w:t xml:space="preserve">. Svojí činnost financuje UGAP výhradně z marží, které si účtuje za </w:t>
      </w:r>
      <w:r w:rsidR="00C026CD">
        <w:t>zprostředkování nákupu</w:t>
      </w:r>
      <w:r>
        <w:t>.</w:t>
      </w:r>
      <w:r w:rsidR="007818A2">
        <w:t xml:space="preserve"> </w:t>
      </w:r>
      <w:r w:rsidR="00663EE8">
        <w:t xml:space="preserve">V roce 2012 se průměrná úroveň marže pohybovala kolem 6 %. </w:t>
      </w:r>
      <w:r w:rsidR="00F21391">
        <w:rPr>
          <w:rFonts w:eastAsiaTheme="minorHAnsi" w:cstheme="minorBidi"/>
          <w:szCs w:val="22"/>
        </w:rPr>
        <w:t>Úroveň marže je přitom závislá na typu klienta. Kategorie „příležitostných klientů“ má nejvyšší marži a za zboží platí cenu uvedenou na e-</w:t>
      </w:r>
      <w:proofErr w:type="spellStart"/>
      <w:r w:rsidR="00F21391">
        <w:rPr>
          <w:rFonts w:eastAsiaTheme="minorHAnsi" w:cstheme="minorBidi"/>
          <w:szCs w:val="22"/>
        </w:rPr>
        <w:t>shopu</w:t>
      </w:r>
      <w:proofErr w:type="spellEnd"/>
      <w:r w:rsidR="00F21391">
        <w:rPr>
          <w:rFonts w:eastAsiaTheme="minorHAnsi" w:cstheme="minorBidi"/>
          <w:szCs w:val="22"/>
        </w:rPr>
        <w:t xml:space="preserve"> UGAP. Druhé kategorii klientů (tzv. „klienti s velkými objemy“) je katalogová cena snížena o určitou slevu. Klienti v poslední kategorii, tzv. „dlouhodobí partneři“, nakupují za nákupní cenu s marží, která se pohybuje mezi </w:t>
      </w:r>
      <w:r w:rsidR="00F21391" w:rsidRPr="00B81D92">
        <w:rPr>
          <w:rFonts w:eastAsiaTheme="minorHAnsi" w:cstheme="minorBidi"/>
          <w:szCs w:val="22"/>
        </w:rPr>
        <w:t>2,4 % - 8 % v závislosti na druhu zboží a objemu</w:t>
      </w:r>
      <w:r w:rsidR="00F21391">
        <w:rPr>
          <w:rFonts w:eastAsiaTheme="minorHAnsi" w:cstheme="minorBidi"/>
          <w:szCs w:val="22"/>
        </w:rPr>
        <w:t xml:space="preserve">. </w:t>
      </w:r>
    </w:p>
    <w:p w:rsidR="005433DF" w:rsidRDefault="005433DF" w:rsidP="00817955">
      <w:r>
        <w:t>Jelikož je UGAP veřejnou institucí, vztahuje se na ní francouzský zákon o zadávání veřejných zakázek</w:t>
      </w:r>
      <w:r w:rsidR="00C026CD">
        <w:t>, a</w:t>
      </w:r>
      <w:r w:rsidR="004E4B53">
        <w:t> </w:t>
      </w:r>
      <w:r w:rsidR="00C026CD">
        <w:t>tím i povinnost realizace zadávacích řízení na zakázky s hodnotou vyšší než 90 000 EUR prostřednictvím elektronického systému</w:t>
      </w:r>
      <w:r w:rsidR="004E4B53">
        <w:rPr>
          <w:rStyle w:val="Znakapoznpodarou"/>
        </w:rPr>
        <w:footnoteReference w:id="19"/>
      </w:r>
      <w:r>
        <w:t xml:space="preserve">. </w:t>
      </w:r>
    </w:p>
    <w:p w:rsidR="005433DF" w:rsidRDefault="005433DF" w:rsidP="00817955">
      <w:r>
        <w:t>V současné době nabízí UGAP zboží a služby v těchto kategoriích:</w:t>
      </w:r>
    </w:p>
    <w:p w:rsidR="005433DF" w:rsidRDefault="005433DF" w:rsidP="00817955">
      <w:pPr>
        <w:pStyle w:val="Odstavecseseznamem"/>
        <w:numPr>
          <w:ilvl w:val="0"/>
          <w:numId w:val="15"/>
        </w:numPr>
      </w:pPr>
      <w:r>
        <w:t>Kancelářské vybavení</w:t>
      </w:r>
      <w:r w:rsidR="00E5325C">
        <w:t>;</w:t>
      </w:r>
    </w:p>
    <w:p w:rsidR="005433DF" w:rsidRDefault="005433DF" w:rsidP="00817955">
      <w:pPr>
        <w:pStyle w:val="Odstavecseseznamem"/>
        <w:numPr>
          <w:ilvl w:val="0"/>
          <w:numId w:val="15"/>
        </w:numPr>
      </w:pPr>
      <w:r>
        <w:t>Nábytek + vybavení budov</w:t>
      </w:r>
      <w:r w:rsidR="00E5325C">
        <w:t>;</w:t>
      </w:r>
    </w:p>
    <w:p w:rsidR="005433DF" w:rsidRDefault="005433DF" w:rsidP="00817955">
      <w:pPr>
        <w:pStyle w:val="Odstavecseseznamem"/>
        <w:numPr>
          <w:ilvl w:val="0"/>
          <w:numId w:val="15"/>
        </w:numPr>
      </w:pPr>
      <w:r>
        <w:t>Vozový park (vč. pronájmu a údržby)</w:t>
      </w:r>
      <w:r w:rsidR="00E5325C">
        <w:t>;</w:t>
      </w:r>
    </w:p>
    <w:p w:rsidR="005433DF" w:rsidRDefault="005433DF" w:rsidP="00817955">
      <w:pPr>
        <w:pStyle w:val="Odstavecseseznamem"/>
        <w:numPr>
          <w:ilvl w:val="0"/>
          <w:numId w:val="15"/>
        </w:numPr>
      </w:pPr>
      <w:r>
        <w:t>Hygienické pomůcky</w:t>
      </w:r>
      <w:r w:rsidR="00E5325C">
        <w:t>;</w:t>
      </w:r>
    </w:p>
    <w:p w:rsidR="005433DF" w:rsidRDefault="005433DF" w:rsidP="00817955">
      <w:pPr>
        <w:pStyle w:val="Odstavecseseznamem"/>
        <w:numPr>
          <w:ilvl w:val="0"/>
          <w:numId w:val="15"/>
        </w:numPr>
      </w:pPr>
      <w:r>
        <w:t xml:space="preserve">ICT technologie (vč. </w:t>
      </w:r>
      <w:r w:rsidR="00E5325C">
        <w:t>ú</w:t>
      </w:r>
      <w:r>
        <w:t>držby)</w:t>
      </w:r>
      <w:r w:rsidR="00E5325C">
        <w:t>;</w:t>
      </w:r>
    </w:p>
    <w:p w:rsidR="005433DF" w:rsidRDefault="005433DF" w:rsidP="00817955">
      <w:pPr>
        <w:pStyle w:val="Odstavecseseznamem"/>
        <w:numPr>
          <w:ilvl w:val="0"/>
          <w:numId w:val="15"/>
        </w:numPr>
      </w:pPr>
      <w:r>
        <w:t>Telekomunikace</w:t>
      </w:r>
      <w:r w:rsidR="00E5325C">
        <w:t>;</w:t>
      </w:r>
    </w:p>
    <w:p w:rsidR="005433DF" w:rsidRDefault="005433DF" w:rsidP="00817955">
      <w:pPr>
        <w:pStyle w:val="Odstavecseseznamem"/>
        <w:numPr>
          <w:ilvl w:val="0"/>
          <w:numId w:val="15"/>
        </w:numPr>
      </w:pPr>
      <w:r>
        <w:t>Energie a paliva</w:t>
      </w:r>
      <w:r w:rsidR="00E5325C">
        <w:t>;</w:t>
      </w:r>
    </w:p>
    <w:p w:rsidR="005433DF" w:rsidRDefault="005433DF" w:rsidP="00817955">
      <w:pPr>
        <w:pStyle w:val="Odstavecseseznamem"/>
        <w:numPr>
          <w:ilvl w:val="0"/>
          <w:numId w:val="15"/>
        </w:numPr>
      </w:pPr>
      <w:r>
        <w:t>Služby</w:t>
      </w:r>
      <w:r w:rsidR="00E5325C">
        <w:t>;</w:t>
      </w:r>
    </w:p>
    <w:p w:rsidR="005433DF" w:rsidRDefault="005433DF" w:rsidP="00817955">
      <w:pPr>
        <w:pStyle w:val="Odstavecseseznamem"/>
        <w:numPr>
          <w:ilvl w:val="0"/>
          <w:numId w:val="15"/>
        </w:numPr>
      </w:pPr>
      <w:r>
        <w:t>Cestování</w:t>
      </w:r>
      <w:r w:rsidR="00E5325C">
        <w:t>;</w:t>
      </w:r>
    </w:p>
    <w:p w:rsidR="005433DF" w:rsidRDefault="005433DF" w:rsidP="00817955">
      <w:pPr>
        <w:pStyle w:val="Odstavecseseznamem"/>
        <w:numPr>
          <w:ilvl w:val="0"/>
          <w:numId w:val="15"/>
        </w:numPr>
      </w:pPr>
      <w:r>
        <w:t>Laboratorní náčiní</w:t>
      </w:r>
      <w:r w:rsidR="00E5325C">
        <w:t>;</w:t>
      </w:r>
    </w:p>
    <w:p w:rsidR="005433DF" w:rsidRDefault="005433DF" w:rsidP="00817955">
      <w:pPr>
        <w:pStyle w:val="Odstavecseseznamem"/>
        <w:numPr>
          <w:ilvl w:val="0"/>
          <w:numId w:val="15"/>
        </w:numPr>
      </w:pPr>
      <w:r>
        <w:t>Lékařské přístroje (rentgeny, mamografy apod.)</w:t>
      </w:r>
      <w:r w:rsidR="00E5325C">
        <w:t>;</w:t>
      </w:r>
    </w:p>
    <w:p w:rsidR="005433DF" w:rsidRDefault="005433DF" w:rsidP="00817955">
      <w:pPr>
        <w:pStyle w:val="Odstavecseseznamem"/>
        <w:numPr>
          <w:ilvl w:val="0"/>
          <w:numId w:val="15"/>
        </w:numPr>
      </w:pPr>
      <w:r>
        <w:t>Pracovní a společenské oděvy</w:t>
      </w:r>
      <w:r w:rsidR="00E5325C">
        <w:t>;</w:t>
      </w:r>
    </w:p>
    <w:p w:rsidR="005433DF" w:rsidRDefault="005433DF" w:rsidP="00817955">
      <w:pPr>
        <w:pStyle w:val="Odstavecseseznamem"/>
        <w:numPr>
          <w:ilvl w:val="0"/>
          <w:numId w:val="15"/>
        </w:numPr>
      </w:pPr>
      <w:r>
        <w:t>Finanční služby</w:t>
      </w:r>
      <w:r w:rsidR="00070C2C">
        <w:rPr>
          <w:rStyle w:val="Znakapoznpodarou"/>
        </w:rPr>
        <w:footnoteReference w:id="20"/>
      </w:r>
      <w:r w:rsidR="00E5325C">
        <w:t>.</w:t>
      </w:r>
    </w:p>
    <w:p w:rsidR="005433DF" w:rsidRDefault="00070C2C" w:rsidP="00817955">
      <w:r>
        <w:t xml:space="preserve">Výběr komodit a služeb, pro které UGAP nabízí možnost centralizovaného nákupu, vychází z analýz zpracovávaných přímo UGAP, případně výstupů pracovních skupin, jejichž členy jsou též zástupci veřejného sektoru. </w:t>
      </w:r>
    </w:p>
    <w:p w:rsidR="005433DF" w:rsidRDefault="005433DF" w:rsidP="00817955">
      <w:pPr>
        <w:pStyle w:val="Nadpis1"/>
      </w:pPr>
      <w:bookmarkStart w:id="103" w:name="_Toc401229446"/>
      <w:bookmarkStart w:id="104" w:name="_Toc402536885"/>
      <w:bookmarkStart w:id="105" w:name="_Toc407612412"/>
      <w:bookmarkStart w:id="106" w:name="_Toc411520452"/>
      <w:r>
        <w:lastRenderedPageBreak/>
        <w:t>Itálie</w:t>
      </w:r>
      <w:bookmarkEnd w:id="103"/>
      <w:bookmarkEnd w:id="104"/>
      <w:r>
        <w:rPr>
          <w:rStyle w:val="Znakapoznpodarou"/>
        </w:rPr>
        <w:footnoteReference w:id="21"/>
      </w:r>
      <w:bookmarkEnd w:id="105"/>
      <w:bookmarkEnd w:id="106"/>
    </w:p>
    <w:p w:rsidR="00871FAF" w:rsidRDefault="005433DF" w:rsidP="00817955">
      <w:r>
        <w:t xml:space="preserve">V Itálii působí několik regionálních centrálních zadavatelů a jeden národní. Tím je v roce 1997 založený </w:t>
      </w:r>
      <w:proofErr w:type="spellStart"/>
      <w:r w:rsidRPr="003E1762">
        <w:rPr>
          <w:i/>
        </w:rPr>
        <w:t>Concessionaria</w:t>
      </w:r>
      <w:proofErr w:type="spellEnd"/>
      <w:r w:rsidRPr="003E1762">
        <w:rPr>
          <w:i/>
        </w:rPr>
        <w:t xml:space="preserve"> </w:t>
      </w:r>
      <w:proofErr w:type="spellStart"/>
      <w:r w:rsidRPr="003E1762">
        <w:rPr>
          <w:i/>
        </w:rPr>
        <w:t>Servizi</w:t>
      </w:r>
      <w:proofErr w:type="spellEnd"/>
      <w:r w:rsidRPr="003E1762">
        <w:rPr>
          <w:i/>
        </w:rPr>
        <w:t xml:space="preserve"> </w:t>
      </w:r>
      <w:proofErr w:type="spellStart"/>
      <w:r w:rsidRPr="003E1762">
        <w:rPr>
          <w:i/>
        </w:rPr>
        <w:t>Informativi</w:t>
      </w:r>
      <w:proofErr w:type="spellEnd"/>
      <w:r w:rsidRPr="003E1762">
        <w:rPr>
          <w:i/>
        </w:rPr>
        <w:t xml:space="preserve"> </w:t>
      </w:r>
      <w:proofErr w:type="spellStart"/>
      <w:r w:rsidRPr="003E1762">
        <w:rPr>
          <w:i/>
        </w:rPr>
        <w:t>Pubblici</w:t>
      </w:r>
      <w:proofErr w:type="spellEnd"/>
      <w:r>
        <w:t xml:space="preserve"> (dále </w:t>
      </w:r>
      <w:r w:rsidR="00E5325C">
        <w:t xml:space="preserve">jen </w:t>
      </w:r>
      <w:r>
        <w:t>CONSIP). CONSIP je zřízen ja</w:t>
      </w:r>
      <w:r w:rsidR="00E5325C">
        <w:t xml:space="preserve">ko státem vlastněná společnost, </w:t>
      </w:r>
      <w:r w:rsidR="00871FAF">
        <w:t>jediným akcionářem je</w:t>
      </w:r>
      <w:r>
        <w:t xml:space="preserve"> ministerstv</w:t>
      </w:r>
      <w:r w:rsidR="00871FAF">
        <w:t>o</w:t>
      </w:r>
      <w:r>
        <w:t xml:space="preserve"> financí a hospodářství</w:t>
      </w:r>
      <w:r w:rsidR="00E5325C">
        <w:t>.</w:t>
      </w:r>
    </w:p>
    <w:p w:rsidR="005433DF" w:rsidRDefault="005433DF" w:rsidP="00817955">
      <w:r w:rsidRPr="000A50EC">
        <w:rPr>
          <w:b/>
        </w:rPr>
        <w:t xml:space="preserve">Nákup </w:t>
      </w:r>
      <w:r w:rsidR="00871FAF" w:rsidRPr="000A50EC">
        <w:rPr>
          <w:b/>
        </w:rPr>
        <w:t>prostřednictvím</w:t>
      </w:r>
      <w:r w:rsidRPr="000A50EC">
        <w:rPr>
          <w:b/>
        </w:rPr>
        <w:t xml:space="preserve"> CONSIP je pro cent</w:t>
      </w:r>
      <w:r w:rsidR="00871FAF" w:rsidRPr="000A50EC">
        <w:rPr>
          <w:b/>
        </w:rPr>
        <w:t>rální státní instituce povinný</w:t>
      </w:r>
      <w:r w:rsidR="00871FAF" w:rsidRPr="007A50D7">
        <w:t>, mezi povinné subjekty</w:t>
      </w:r>
      <w:r w:rsidR="00871FAF">
        <w:t xml:space="preserve"> však nejsou zahrnuty </w:t>
      </w:r>
      <w:r w:rsidR="000A50EC">
        <w:t>univerzity a školy</w:t>
      </w:r>
      <w:r>
        <w:t xml:space="preserve">. Ostatní veřejné (i regionální) organizace se </w:t>
      </w:r>
      <w:r w:rsidR="00722D0D">
        <w:t xml:space="preserve">mohou v případě zájmu připojit. </w:t>
      </w:r>
      <w:r>
        <w:t xml:space="preserve">Pokud </w:t>
      </w:r>
      <w:r w:rsidR="00722D0D">
        <w:t>však příslušná instituce</w:t>
      </w:r>
      <w:r w:rsidR="007A50D7">
        <w:t xml:space="preserve"> určitou službu nebo zboží sama zajišťuje</w:t>
      </w:r>
      <w:r>
        <w:t xml:space="preserve"> levněji, nemusí využít služby CONSIP.</w:t>
      </w:r>
    </w:p>
    <w:p w:rsidR="005433DF" w:rsidRPr="00950F8A" w:rsidRDefault="005433DF" w:rsidP="00817955">
      <w:r>
        <w:t xml:space="preserve">Finanční prostředky na svou činnost získává CONSIP od ministerstev financí a hospodářství, se kterými za tímto účelem uzavírá každé tři roky </w:t>
      </w:r>
      <w:r w:rsidR="007550BC">
        <w:t>rámcovou smlouvu. Příjmy CONSIP</w:t>
      </w:r>
      <w:r>
        <w:t xml:space="preserve"> jsou rozděleny na dvě části – fixní přímé platby a motivační příspěvky, které jsou závislé na plnění předem definovaných kritérií efektivity (hodnocení provádí italský statistický úřad). V roce 2009 zap</w:t>
      </w:r>
      <w:r w:rsidR="007550BC">
        <w:t>latila Itálie za činnost CONSIP</w:t>
      </w:r>
      <w:r>
        <w:t xml:space="preserve"> 45</w:t>
      </w:r>
      <w:r w:rsidR="007550BC">
        <w:t> </w:t>
      </w:r>
      <w:r>
        <w:t xml:space="preserve">milionů </w:t>
      </w:r>
      <w:r w:rsidR="007A50D7">
        <w:t>EUR</w:t>
      </w:r>
      <w:r>
        <w:t xml:space="preserve">. </w:t>
      </w:r>
    </w:p>
    <w:p w:rsidR="005433DF" w:rsidRDefault="005433DF" w:rsidP="00817955">
      <w:pPr>
        <w:pStyle w:val="Nadpis2"/>
      </w:pPr>
      <w:bookmarkStart w:id="107" w:name="_Toc401229447"/>
      <w:bookmarkStart w:id="108" w:name="_Toc402536886"/>
      <w:bookmarkStart w:id="109" w:name="_Toc401683630"/>
      <w:bookmarkStart w:id="110" w:name="_Toc407612413"/>
      <w:bookmarkStart w:id="111" w:name="_Toc411520453"/>
      <w:r>
        <w:t>Rozsah činnosti</w:t>
      </w:r>
      <w:bookmarkEnd w:id="107"/>
      <w:r>
        <w:t xml:space="preserve"> společnosti</w:t>
      </w:r>
      <w:bookmarkEnd w:id="108"/>
      <w:bookmarkEnd w:id="109"/>
      <w:r>
        <w:t xml:space="preserve"> CONSIP</w:t>
      </w:r>
      <w:bookmarkEnd w:id="110"/>
      <w:bookmarkEnd w:id="111"/>
    </w:p>
    <w:p w:rsidR="00E5325C" w:rsidRDefault="000A50EC" w:rsidP="00817955">
      <w:r>
        <w:t>Komodity</w:t>
      </w:r>
      <w:r w:rsidR="005433DF">
        <w:t xml:space="preserve">, které musí veřejné instituce nakupovat přes CONSIP, jsou </w:t>
      </w:r>
      <w:r w:rsidR="00E5325C">
        <w:t>definovány</w:t>
      </w:r>
      <w:r w:rsidR="005433DF">
        <w:t xml:space="preserve"> vyhláš</w:t>
      </w:r>
      <w:r w:rsidR="00E5325C">
        <w:t>kou</w:t>
      </w:r>
      <w:r w:rsidR="005433DF">
        <w:t xml:space="preserve"> ministerstva financí. Standardizaci a specifikaci služeb a zboží provádí CONSIP na základě </w:t>
      </w:r>
      <w:r w:rsidR="002E1769">
        <w:t>analýzy tržní poptávky a</w:t>
      </w:r>
      <w:r>
        <w:t> </w:t>
      </w:r>
      <w:r w:rsidR="002E1769">
        <w:t>nabídky.</w:t>
      </w:r>
      <w:r w:rsidR="005433DF">
        <w:t xml:space="preserve"> Většina rámcových smluv (</w:t>
      </w:r>
      <w:r w:rsidR="002E1769">
        <w:t xml:space="preserve">cca </w:t>
      </w:r>
      <w:r>
        <w:t xml:space="preserve">90 %) je </w:t>
      </w:r>
      <w:r w:rsidR="00E5325C">
        <w:t>uzavírána</w:t>
      </w:r>
      <w:r w:rsidR="005433DF">
        <w:t xml:space="preserve"> na základě ekonomicky nejvýhodnější nabídky. </w:t>
      </w:r>
      <w:r w:rsidR="002E1769">
        <w:t>Z</w:t>
      </w:r>
      <w:r w:rsidR="005433DF">
        <w:t xml:space="preserve">bylých 10 % </w:t>
      </w:r>
      <w:r w:rsidR="002E1769">
        <w:t xml:space="preserve">rámcových smluv je uzavřeno </w:t>
      </w:r>
      <w:r w:rsidR="00E5325C">
        <w:t>s dodavatelem, který nabídne</w:t>
      </w:r>
      <w:r w:rsidR="002E1769">
        <w:t xml:space="preserve"> </w:t>
      </w:r>
      <w:r w:rsidR="005433DF">
        <w:t>nejnižší cen</w:t>
      </w:r>
      <w:r w:rsidR="00E5325C">
        <w:t>u</w:t>
      </w:r>
      <w:r w:rsidR="005433DF">
        <w:t>.</w:t>
      </w:r>
    </w:p>
    <w:p w:rsidR="005433DF" w:rsidRDefault="005433DF" w:rsidP="00817955">
      <w:r>
        <w:t>V současné době zprostředkovává CONSIP nákup zboží a služeb v těchto oblastech:</w:t>
      </w:r>
    </w:p>
    <w:p w:rsidR="005433DF" w:rsidRDefault="005433DF" w:rsidP="00817955">
      <w:pPr>
        <w:pStyle w:val="Odstavecseseznamem"/>
        <w:numPr>
          <w:ilvl w:val="0"/>
          <w:numId w:val="17"/>
        </w:numPr>
      </w:pPr>
      <w:r>
        <w:t>Zdravotnictví</w:t>
      </w:r>
      <w:r w:rsidR="00E5325C">
        <w:t>;</w:t>
      </w:r>
    </w:p>
    <w:p w:rsidR="005433DF" w:rsidRDefault="005433DF" w:rsidP="00817955">
      <w:pPr>
        <w:pStyle w:val="Odstavecseseznamem"/>
        <w:numPr>
          <w:ilvl w:val="0"/>
          <w:numId w:val="17"/>
        </w:numPr>
      </w:pPr>
      <w:r>
        <w:t>Energie a pohonné hmoty</w:t>
      </w:r>
      <w:r w:rsidR="00E5325C">
        <w:t>;</w:t>
      </w:r>
    </w:p>
    <w:p w:rsidR="005433DF" w:rsidRDefault="005433DF" w:rsidP="00817955">
      <w:pPr>
        <w:pStyle w:val="Odstavecseseznamem"/>
        <w:numPr>
          <w:ilvl w:val="0"/>
          <w:numId w:val="17"/>
        </w:numPr>
      </w:pPr>
      <w:r>
        <w:t>Kancelářské vybavení</w:t>
      </w:r>
      <w:r w:rsidR="00E5325C">
        <w:t>;</w:t>
      </w:r>
    </w:p>
    <w:p w:rsidR="005433DF" w:rsidRDefault="005433DF" w:rsidP="00817955">
      <w:pPr>
        <w:pStyle w:val="Odstavecseseznamem"/>
        <w:numPr>
          <w:ilvl w:val="0"/>
          <w:numId w:val="17"/>
        </w:numPr>
      </w:pPr>
      <w:r>
        <w:t>Doprava</w:t>
      </w:r>
      <w:r w:rsidR="00E5325C">
        <w:t>;</w:t>
      </w:r>
    </w:p>
    <w:p w:rsidR="005433DF" w:rsidRDefault="005433DF" w:rsidP="00817955">
      <w:pPr>
        <w:pStyle w:val="Odstavecseseznamem"/>
        <w:numPr>
          <w:ilvl w:val="0"/>
          <w:numId w:val="17"/>
        </w:numPr>
      </w:pPr>
      <w:proofErr w:type="spellStart"/>
      <w:r>
        <w:t>Facility</w:t>
      </w:r>
      <w:proofErr w:type="spellEnd"/>
      <w:r>
        <w:t xml:space="preserve"> management</w:t>
      </w:r>
      <w:r w:rsidR="00E5325C">
        <w:t>;</w:t>
      </w:r>
    </w:p>
    <w:p w:rsidR="005433DF" w:rsidRDefault="005433DF" w:rsidP="00817955">
      <w:pPr>
        <w:pStyle w:val="Odstavecseseznamem"/>
        <w:numPr>
          <w:ilvl w:val="0"/>
          <w:numId w:val="17"/>
        </w:numPr>
      </w:pPr>
      <w:r>
        <w:t>Telekomunikace</w:t>
      </w:r>
      <w:r w:rsidR="00E5325C">
        <w:t>;</w:t>
      </w:r>
    </w:p>
    <w:p w:rsidR="005433DF" w:rsidRDefault="005433DF" w:rsidP="00817955">
      <w:pPr>
        <w:pStyle w:val="Odstavecseseznamem"/>
        <w:numPr>
          <w:ilvl w:val="0"/>
          <w:numId w:val="17"/>
        </w:numPr>
      </w:pPr>
      <w:r>
        <w:t>Nábytek (pro kanceláře, školy a univerzity)</w:t>
      </w:r>
      <w:r w:rsidR="00E5325C">
        <w:t>;</w:t>
      </w:r>
    </w:p>
    <w:p w:rsidR="005433DF" w:rsidRDefault="005433DF" w:rsidP="00817955">
      <w:pPr>
        <w:pStyle w:val="Odstavecseseznamem"/>
        <w:numPr>
          <w:ilvl w:val="0"/>
          <w:numId w:val="17"/>
        </w:numPr>
      </w:pPr>
      <w:r>
        <w:t>Pojištění a finanční služby</w:t>
      </w:r>
      <w:r w:rsidR="00E5325C">
        <w:t>;</w:t>
      </w:r>
    </w:p>
    <w:p w:rsidR="005433DF" w:rsidRDefault="005433DF" w:rsidP="00817955">
      <w:pPr>
        <w:pStyle w:val="Odstavecseseznamem"/>
        <w:numPr>
          <w:ilvl w:val="0"/>
          <w:numId w:val="17"/>
        </w:numPr>
      </w:pPr>
      <w:r>
        <w:t xml:space="preserve">Potraviny </w:t>
      </w:r>
      <w:r w:rsidRPr="00C235A8">
        <w:rPr>
          <w:lang w:val="en-GB"/>
        </w:rPr>
        <w:t>&amp;</w:t>
      </w:r>
      <w:r>
        <w:t xml:space="preserve"> Catering</w:t>
      </w:r>
      <w:r w:rsidR="00E5325C">
        <w:t>.</w:t>
      </w:r>
    </w:p>
    <w:p w:rsidR="000A50EC" w:rsidRPr="00352868" w:rsidRDefault="000A50EC" w:rsidP="000A50EC">
      <w:r>
        <w:t>Kromě zabezpečení centrálního nákupu pro výše uvedené komodity CONSIP dále poskytuje poradenství v oblasti veřejného zadávání a služby s tím spojené.</w:t>
      </w:r>
    </w:p>
    <w:p w:rsidR="005433DF" w:rsidRDefault="005433DF" w:rsidP="00817955">
      <w:pPr>
        <w:pStyle w:val="Nadpis2"/>
      </w:pPr>
      <w:bookmarkStart w:id="112" w:name="_Toc401229448"/>
      <w:bookmarkStart w:id="113" w:name="_Toc407612414"/>
      <w:bookmarkStart w:id="114" w:name="_Toc411520454"/>
      <w:r>
        <w:t>Způsob nákupu</w:t>
      </w:r>
      <w:bookmarkEnd w:id="112"/>
      <w:bookmarkEnd w:id="113"/>
      <w:bookmarkEnd w:id="114"/>
    </w:p>
    <w:p w:rsidR="005433DF" w:rsidRDefault="005433DF" w:rsidP="00817955">
      <w:r>
        <w:t xml:space="preserve">Instituce mohou </w:t>
      </w:r>
      <w:r w:rsidR="002E1769">
        <w:t>prostřednictvím</w:t>
      </w:r>
      <w:r>
        <w:t xml:space="preserve"> CONSIP nakupovat třemi způsoby:</w:t>
      </w:r>
    </w:p>
    <w:p w:rsidR="005433DF" w:rsidRDefault="005433DF" w:rsidP="00817955">
      <w:pPr>
        <w:pStyle w:val="Odstavecseseznamem"/>
        <w:numPr>
          <w:ilvl w:val="0"/>
          <w:numId w:val="18"/>
        </w:numPr>
      </w:pPr>
      <w:r>
        <w:t xml:space="preserve">Rámcové smlouvy – nejčastěji </w:t>
      </w:r>
      <w:r w:rsidR="002E1769">
        <w:t>jsou uzavírány</w:t>
      </w:r>
      <w:r>
        <w:t xml:space="preserve"> s jedním dodavatelem. Zadavatelé kontaktují přímo dodavatele a podepíší s ním konkrétní kontrakt.</w:t>
      </w:r>
    </w:p>
    <w:p w:rsidR="005433DF" w:rsidRDefault="005433DF" w:rsidP="00817955">
      <w:pPr>
        <w:pStyle w:val="Odstavecseseznamem"/>
        <w:numPr>
          <w:ilvl w:val="0"/>
          <w:numId w:val="18"/>
        </w:numPr>
      </w:pPr>
      <w:r>
        <w:t>Elektronické tržiště</w:t>
      </w:r>
      <w:r w:rsidR="007550BC">
        <w:t xml:space="preserve"> MEPA (</w:t>
      </w:r>
      <w:proofErr w:type="spellStart"/>
      <w:r w:rsidR="007550BC" w:rsidRPr="007550BC">
        <w:rPr>
          <w:rFonts w:cs="Arial"/>
          <w:i/>
        </w:rPr>
        <w:t>Mercato</w:t>
      </w:r>
      <w:proofErr w:type="spellEnd"/>
      <w:r w:rsidR="007550BC" w:rsidRPr="007550BC">
        <w:rPr>
          <w:rFonts w:cs="Arial"/>
          <w:i/>
        </w:rPr>
        <w:t xml:space="preserve"> </w:t>
      </w:r>
      <w:proofErr w:type="spellStart"/>
      <w:r w:rsidR="007550BC" w:rsidRPr="007550BC">
        <w:rPr>
          <w:rFonts w:cs="Arial"/>
          <w:i/>
        </w:rPr>
        <w:t>ellettronico</w:t>
      </w:r>
      <w:proofErr w:type="spellEnd"/>
      <w:r w:rsidR="007550BC" w:rsidRPr="007550BC">
        <w:rPr>
          <w:rFonts w:cs="Arial"/>
          <w:i/>
        </w:rPr>
        <w:t xml:space="preserve"> </w:t>
      </w:r>
      <w:proofErr w:type="spellStart"/>
      <w:r w:rsidR="007550BC" w:rsidRPr="007550BC">
        <w:rPr>
          <w:rFonts w:cs="Arial"/>
          <w:i/>
        </w:rPr>
        <w:t>della</w:t>
      </w:r>
      <w:proofErr w:type="spellEnd"/>
      <w:r w:rsidR="007550BC" w:rsidRPr="007550BC">
        <w:rPr>
          <w:rFonts w:cs="Arial"/>
          <w:i/>
        </w:rPr>
        <w:t xml:space="preserve"> </w:t>
      </w:r>
      <w:proofErr w:type="spellStart"/>
      <w:r w:rsidR="007550BC" w:rsidRPr="007550BC">
        <w:rPr>
          <w:rFonts w:cs="Arial"/>
          <w:i/>
        </w:rPr>
        <w:t>Pubblica</w:t>
      </w:r>
      <w:proofErr w:type="spellEnd"/>
      <w:r w:rsidR="007550BC" w:rsidRPr="007550BC">
        <w:rPr>
          <w:rFonts w:cs="Arial"/>
          <w:i/>
        </w:rPr>
        <w:t xml:space="preserve"> </w:t>
      </w:r>
      <w:proofErr w:type="spellStart"/>
      <w:r w:rsidR="007550BC" w:rsidRPr="007550BC">
        <w:rPr>
          <w:rFonts w:cs="Arial"/>
          <w:i/>
        </w:rPr>
        <w:t>Amministrazione</w:t>
      </w:r>
      <w:proofErr w:type="spellEnd"/>
      <w:r w:rsidR="007550BC">
        <w:rPr>
          <w:rFonts w:cs="Arial"/>
        </w:rPr>
        <w:t>)</w:t>
      </w:r>
      <w:r w:rsidR="00E5325C">
        <w:rPr>
          <w:rFonts w:cs="Arial"/>
        </w:rPr>
        <w:t xml:space="preserve"> </w:t>
      </w:r>
      <w:r w:rsidR="002E1769">
        <w:rPr>
          <w:rStyle w:val="Znakapoznpodarou"/>
        </w:rPr>
        <w:footnoteReference w:id="22"/>
      </w:r>
      <w:r w:rsidR="002E1769">
        <w:t xml:space="preserve"> </w:t>
      </w:r>
      <w:r>
        <w:t>– jedná se o</w:t>
      </w:r>
      <w:r w:rsidR="00E5325C">
        <w:t> </w:t>
      </w:r>
      <w:r>
        <w:t>elektronický nákupní systém pro dodávky pod úrovní EU limitů na veřejné zakázky. K dispozici jsou jak rámcové smlouvy, tak i dynamický nákupní systém. Důraz je kladen na podporu participace SME.</w:t>
      </w:r>
    </w:p>
    <w:p w:rsidR="005433DF" w:rsidRDefault="005433DF" w:rsidP="00817955">
      <w:pPr>
        <w:pStyle w:val="Odstavecseseznamem"/>
        <w:numPr>
          <w:ilvl w:val="0"/>
          <w:numId w:val="18"/>
        </w:numPr>
      </w:pPr>
      <w:r>
        <w:lastRenderedPageBreak/>
        <w:t>E-</w:t>
      </w:r>
      <w:proofErr w:type="spellStart"/>
      <w:r>
        <w:t>tenders</w:t>
      </w:r>
      <w:proofErr w:type="spellEnd"/>
      <w:r>
        <w:t xml:space="preserve"> – plně elektronický systém zadávání veřejných zakázek. Umožňuje provést státním institucím téměř jakýkoliv typ tendru</w:t>
      </w:r>
    </w:p>
    <w:p w:rsidR="005433DF" w:rsidRDefault="000F04BA" w:rsidP="004F2F07">
      <w:pPr>
        <w:pStyle w:val="Nadpis1"/>
      </w:pPr>
      <w:bookmarkStart w:id="115" w:name="_Toc411520455"/>
      <w:r>
        <w:lastRenderedPageBreak/>
        <w:t>Zdroje</w:t>
      </w:r>
      <w:bookmarkEnd w:id="115"/>
    </w:p>
    <w:p w:rsidR="004F2F07" w:rsidRDefault="004F2F07" w:rsidP="004F2F07">
      <w:pPr>
        <w:pStyle w:val="Nadpis2"/>
      </w:pPr>
      <w:bookmarkStart w:id="116" w:name="_Toc411520456"/>
      <w:r>
        <w:t>Rakousko</w:t>
      </w:r>
      <w:bookmarkEnd w:id="116"/>
    </w:p>
    <w:p w:rsidR="004F2F07" w:rsidRDefault="004F2F07" w:rsidP="004F2F07">
      <w:pPr>
        <w:pStyle w:val="Odstavecseseznamem"/>
        <w:numPr>
          <w:ilvl w:val="0"/>
          <w:numId w:val="9"/>
        </w:numPr>
        <w:jc w:val="left"/>
      </w:pPr>
      <w:r>
        <w:t xml:space="preserve">Konsolidované znění spolkového zákona o zřízení BBG: </w:t>
      </w:r>
      <w:hyperlink r:id="rId11" w:history="1">
        <w:r w:rsidRPr="00AB0B48">
          <w:rPr>
            <w:rStyle w:val="Hypertextovodkaz"/>
          </w:rPr>
          <w:t>http://www.bbg.gv.at/kunden/beratung/vergabekompetenz-center/gesetze-verordnungen/bestimmungen-zur-bbg/</w:t>
        </w:r>
      </w:hyperlink>
      <w:r>
        <w:t xml:space="preserve"> </w:t>
      </w:r>
    </w:p>
    <w:p w:rsidR="004F2F07" w:rsidRDefault="004F2F07" w:rsidP="004F2F07">
      <w:pPr>
        <w:pStyle w:val="Odstavecseseznamem"/>
        <w:numPr>
          <w:ilvl w:val="0"/>
          <w:numId w:val="9"/>
        </w:numPr>
        <w:jc w:val="left"/>
      </w:pPr>
      <w:r>
        <w:t xml:space="preserve">Konsolidované znění vyhlášky ministra financí o typech zboží, které musí být nakupováno prostřednictvím BBG: </w:t>
      </w:r>
      <w:hyperlink r:id="rId12" w:history="1">
        <w:r w:rsidRPr="00AB0B48">
          <w:rPr>
            <w:rStyle w:val="Hypertextovodkaz"/>
          </w:rPr>
          <w:t>http://www.bbg.gv.at/kunden/beratung/vergabekompetenz-center/gesetze-verordnungen/bestimmungen-zur-bbg/</w:t>
        </w:r>
      </w:hyperlink>
      <w:r>
        <w:t>;</w:t>
      </w:r>
    </w:p>
    <w:p w:rsidR="004F2F07" w:rsidRDefault="004F2F07" w:rsidP="004F2F07">
      <w:pPr>
        <w:pStyle w:val="Odstavecseseznamem"/>
        <w:numPr>
          <w:ilvl w:val="0"/>
          <w:numId w:val="9"/>
        </w:numPr>
        <w:jc w:val="left"/>
      </w:pPr>
      <w:r>
        <w:t xml:space="preserve">Konsolidované znění zákona o veřejných zakázkách: </w:t>
      </w:r>
      <w:hyperlink r:id="rId13" w:history="1">
        <w:r w:rsidRPr="00AB0B48">
          <w:rPr>
            <w:rStyle w:val="Hypertextovodkaz"/>
          </w:rPr>
          <w:t>https://www.ris.bka.gv.at/GeltendeFassung.wxe?Abfrage=Bundesnormen&amp;Gesetzesnummer=20004547</w:t>
        </w:r>
      </w:hyperlink>
      <w:r>
        <w:t xml:space="preserve"> </w:t>
      </w:r>
    </w:p>
    <w:p w:rsidR="004F2F07" w:rsidRDefault="004F2F07" w:rsidP="004F2F07">
      <w:pPr>
        <w:pStyle w:val="Odstavecseseznamem"/>
        <w:numPr>
          <w:ilvl w:val="0"/>
          <w:numId w:val="9"/>
        </w:numPr>
        <w:jc w:val="left"/>
      </w:pPr>
      <w:r>
        <w:t>Informace k výběrovým řízením</w:t>
      </w:r>
      <w:r w:rsidRPr="008B0345">
        <w:t xml:space="preserve"> </w:t>
      </w:r>
      <w:r>
        <w:t>vypsaným BBG, uzavřeným smlouvám, odkazu na e-</w:t>
      </w:r>
      <w:proofErr w:type="spellStart"/>
      <w:r>
        <w:t>shop</w:t>
      </w:r>
      <w:proofErr w:type="spellEnd"/>
      <w:r>
        <w:t xml:space="preserve"> a návodů na jeho použití: </w:t>
      </w:r>
      <w:hyperlink r:id="rId14" w:history="1">
        <w:r w:rsidRPr="00AB0B48">
          <w:rPr>
            <w:rStyle w:val="Hypertextovodkaz"/>
          </w:rPr>
          <w:t>http://www.bbg.gv.at/</w:t>
        </w:r>
      </w:hyperlink>
      <w:r>
        <w:t xml:space="preserve"> </w:t>
      </w:r>
    </w:p>
    <w:p w:rsidR="004F2F07" w:rsidRDefault="002B60F5" w:rsidP="004F2F07">
      <w:pPr>
        <w:pStyle w:val="Odstavecseseznamem"/>
        <w:numPr>
          <w:ilvl w:val="0"/>
          <w:numId w:val="9"/>
        </w:numPr>
        <w:jc w:val="left"/>
      </w:pPr>
      <w:hyperlink r:id="rId15" w:history="1">
        <w:r w:rsidR="004F2F07" w:rsidRPr="008B0345">
          <w:t>Výroční</w:t>
        </w:r>
      </w:hyperlink>
      <w:r w:rsidR="004F2F07" w:rsidRPr="008B0345">
        <w:t xml:space="preserve"> zpráva o činnosti BBG za rok 2013: </w:t>
      </w:r>
      <w:hyperlink r:id="rId16" w:history="1">
        <w:r w:rsidR="004F2F07" w:rsidRPr="00AB0B48">
          <w:rPr>
            <w:rStyle w:val="Hypertextovodkaz"/>
          </w:rPr>
          <w:t>http://www.bbg.gv.at/publikationen/corporate-governance/</w:t>
        </w:r>
      </w:hyperlink>
      <w:r w:rsidR="004F2F07">
        <w:rPr>
          <w:rStyle w:val="Hypertextovodkaz"/>
        </w:rPr>
        <w:t xml:space="preserve"> </w:t>
      </w:r>
    </w:p>
    <w:p w:rsidR="004F2F07" w:rsidRDefault="004F2F07" w:rsidP="004F2F07">
      <w:pPr>
        <w:pStyle w:val="Odstavecseseznamem"/>
        <w:numPr>
          <w:ilvl w:val="0"/>
          <w:numId w:val="9"/>
        </w:numPr>
        <w:jc w:val="left"/>
      </w:pPr>
      <w:r>
        <w:t xml:space="preserve">Shrnutí právního rámce zadávání veřejných zakázek v Rakousku: </w:t>
      </w:r>
      <w:hyperlink r:id="rId17" w:history="1">
        <w:r w:rsidRPr="00AB0B48">
          <w:rPr>
            <w:rStyle w:val="Hypertextovodkaz"/>
          </w:rPr>
          <w:t>https://www.wko.at/Content.Node/Service/Wirtschaftsrecht-und-Gewerberecht/Vergaberecht/Vergabeverfahren/Wahl-der-Vergabeverfahren.html</w:t>
        </w:r>
      </w:hyperlink>
      <w:r>
        <w:t xml:space="preserve"> </w:t>
      </w:r>
    </w:p>
    <w:p w:rsidR="004F2F07" w:rsidRDefault="004F2F07" w:rsidP="004F2F07">
      <w:pPr>
        <w:pStyle w:val="Nadpis2"/>
      </w:pPr>
      <w:bookmarkStart w:id="117" w:name="_Toc411520457"/>
      <w:r>
        <w:t>Spojené království Velké Británie a Severního Irska</w:t>
      </w:r>
      <w:bookmarkEnd w:id="117"/>
    </w:p>
    <w:p w:rsidR="004F2F07" w:rsidRDefault="002B60F5" w:rsidP="004F2F07">
      <w:pPr>
        <w:pStyle w:val="Odstavecseseznamem"/>
        <w:numPr>
          <w:ilvl w:val="0"/>
          <w:numId w:val="34"/>
        </w:numPr>
        <w:jc w:val="left"/>
      </w:pPr>
      <w:hyperlink r:id="rId18" w:history="1">
        <w:r w:rsidR="004F2F07" w:rsidRPr="000F764E">
          <w:rPr>
            <w:i/>
          </w:rPr>
          <w:t>Crown Commercial Service</w:t>
        </w:r>
      </w:hyperlink>
      <w:r w:rsidR="004F2F07" w:rsidRPr="000F764E">
        <w:rPr>
          <w:i/>
        </w:rPr>
        <w:t xml:space="preserve"> </w:t>
      </w:r>
      <w:r w:rsidR="004F2F07">
        <w:t xml:space="preserve">s komplexními informacemi k jednotlivým způsobům výběrových řízení: </w:t>
      </w:r>
      <w:hyperlink r:id="rId19" w:history="1">
        <w:r w:rsidR="004F2F07" w:rsidRPr="00AB0B48">
          <w:rPr>
            <w:rStyle w:val="Hypertextovodkaz"/>
          </w:rPr>
          <w:t>https://www.gov.uk/government/organisations/crown-commercial-service</w:t>
        </w:r>
      </w:hyperlink>
      <w:r w:rsidR="004F2F07">
        <w:t xml:space="preserve"> </w:t>
      </w:r>
    </w:p>
    <w:p w:rsidR="004F2F07" w:rsidRDefault="002B60F5" w:rsidP="004F2F07">
      <w:pPr>
        <w:pStyle w:val="Odstavecseseznamem"/>
        <w:numPr>
          <w:ilvl w:val="0"/>
          <w:numId w:val="34"/>
        </w:numPr>
        <w:jc w:val="left"/>
      </w:pPr>
      <w:hyperlink r:id="rId20" w:history="1">
        <w:r w:rsidR="004F2F07" w:rsidRPr="000F764E">
          <w:rPr>
            <w:i/>
          </w:rPr>
          <w:t>Central Procurement Directorate</w:t>
        </w:r>
      </w:hyperlink>
      <w:r w:rsidR="004F2F07">
        <w:t xml:space="preserve">: </w:t>
      </w:r>
      <w:hyperlink r:id="rId21" w:history="1">
        <w:r w:rsidR="004F2F07" w:rsidRPr="00AB0B48">
          <w:rPr>
            <w:rStyle w:val="Hypertextovodkaz"/>
          </w:rPr>
          <w:t>http://www.dfpni.gov.uk/cpd</w:t>
        </w:r>
      </w:hyperlink>
      <w:r w:rsidR="004F2F07">
        <w:t xml:space="preserve"> </w:t>
      </w:r>
    </w:p>
    <w:p w:rsidR="004F2F07" w:rsidRDefault="004F2F07" w:rsidP="004F2F07">
      <w:pPr>
        <w:pStyle w:val="Odstavecseseznamem"/>
        <w:numPr>
          <w:ilvl w:val="0"/>
          <w:numId w:val="34"/>
        </w:numPr>
        <w:jc w:val="left"/>
      </w:pPr>
      <w:proofErr w:type="spellStart"/>
      <w:r w:rsidRPr="000F764E">
        <w:rPr>
          <w:i/>
        </w:rPr>
        <w:t>Value</w:t>
      </w:r>
      <w:proofErr w:type="spellEnd"/>
      <w:r w:rsidRPr="000F764E">
        <w:rPr>
          <w:i/>
        </w:rPr>
        <w:t xml:space="preserve"> Wales</w:t>
      </w:r>
      <w:r>
        <w:t xml:space="preserve">: </w:t>
      </w:r>
      <w:hyperlink r:id="rId22" w:history="1">
        <w:r w:rsidRPr="00AB0B48">
          <w:rPr>
            <w:rStyle w:val="Hypertextovodkaz"/>
          </w:rPr>
          <w:t>http://wales.gov.uk/topics/improvingservices/bettervfm/?lang=en</w:t>
        </w:r>
      </w:hyperlink>
      <w:r>
        <w:t xml:space="preserve"> </w:t>
      </w:r>
    </w:p>
    <w:p w:rsidR="004F2F07" w:rsidRDefault="004F2F07" w:rsidP="004F2F07">
      <w:pPr>
        <w:pStyle w:val="Odstavecseseznamem"/>
        <w:numPr>
          <w:ilvl w:val="0"/>
          <w:numId w:val="34"/>
        </w:numPr>
        <w:jc w:val="left"/>
      </w:pPr>
      <w:r>
        <w:t xml:space="preserve">Britský zákon o zadávání veřejných zakázek: </w:t>
      </w:r>
      <w:r>
        <w:br/>
      </w:r>
      <w:hyperlink r:id="rId23" w:history="1">
        <w:r w:rsidRPr="00AB0B48">
          <w:rPr>
            <w:rStyle w:val="Hypertextovodkaz"/>
          </w:rPr>
          <w:t>http://www.legislation.gov.uk/uksi/2006/5/contents/made</w:t>
        </w:r>
      </w:hyperlink>
      <w:r>
        <w:t xml:space="preserve"> </w:t>
      </w:r>
    </w:p>
    <w:p w:rsidR="004F2F07" w:rsidRDefault="004F2F07" w:rsidP="004F2F07">
      <w:pPr>
        <w:pStyle w:val="Odstavecseseznamem"/>
        <w:numPr>
          <w:ilvl w:val="0"/>
          <w:numId w:val="34"/>
        </w:numPr>
        <w:jc w:val="left"/>
      </w:pPr>
      <w:r>
        <w:t xml:space="preserve">Zákon o obchodních fondech, který reguluje činnost </w:t>
      </w:r>
      <w:proofErr w:type="spellStart"/>
      <w:r w:rsidRPr="000F764E">
        <w:rPr>
          <w:i/>
        </w:rPr>
        <w:t>Crown</w:t>
      </w:r>
      <w:proofErr w:type="spellEnd"/>
      <w:r w:rsidRPr="000F764E">
        <w:rPr>
          <w:i/>
        </w:rPr>
        <w:t xml:space="preserve"> </w:t>
      </w:r>
      <w:proofErr w:type="spellStart"/>
      <w:r w:rsidRPr="000F764E">
        <w:rPr>
          <w:i/>
        </w:rPr>
        <w:t>Commercial</w:t>
      </w:r>
      <w:proofErr w:type="spellEnd"/>
      <w:r w:rsidRPr="000F764E">
        <w:rPr>
          <w:i/>
        </w:rPr>
        <w:t xml:space="preserve"> </w:t>
      </w:r>
      <w:proofErr w:type="spellStart"/>
      <w:r w:rsidRPr="000F764E">
        <w:rPr>
          <w:i/>
        </w:rPr>
        <w:t>Service</w:t>
      </w:r>
      <w:proofErr w:type="spellEnd"/>
      <w:r>
        <w:t>:</w:t>
      </w:r>
      <w:r>
        <w:br/>
      </w:r>
      <w:hyperlink r:id="rId24" w:history="1">
        <w:r w:rsidRPr="00AB0B48">
          <w:rPr>
            <w:rStyle w:val="Hypertextovodkaz"/>
          </w:rPr>
          <w:t>http://www.legislation.gov.uk/ukpga/1973/63</w:t>
        </w:r>
      </w:hyperlink>
      <w:r>
        <w:t xml:space="preserve"> </w:t>
      </w:r>
    </w:p>
    <w:p w:rsidR="004F2F07" w:rsidRDefault="004F2F07" w:rsidP="004F2F07">
      <w:pPr>
        <w:pStyle w:val="Odstavecseseznamem"/>
        <w:numPr>
          <w:ilvl w:val="0"/>
          <w:numId w:val="9"/>
        </w:numPr>
        <w:jc w:val="left"/>
        <w:rPr>
          <w:lang w:eastAsia="cs-CZ"/>
        </w:rPr>
      </w:pPr>
      <w:r>
        <w:t xml:space="preserve">Nařízení </w:t>
      </w:r>
      <w:r w:rsidRPr="000F764E">
        <w:t>Komise (EU) č. 1336/2013</w:t>
      </w:r>
      <w:r>
        <w:t xml:space="preserve"> regulující prahové hodnoty veřejných zakázek:</w:t>
      </w:r>
      <w:r>
        <w:br/>
      </w:r>
      <w:hyperlink r:id="rId25" w:history="1">
        <w:r w:rsidRPr="00AB0B48">
          <w:rPr>
            <w:rStyle w:val="Hypertextovodkaz"/>
          </w:rPr>
          <w:t>http://eur-lex.europa.eu/legal-content/CS/TXT/?uri=CELEX:32013R1336</w:t>
        </w:r>
      </w:hyperlink>
    </w:p>
    <w:p w:rsidR="004F2F07" w:rsidRDefault="004F2F07" w:rsidP="004F2F07">
      <w:pPr>
        <w:pStyle w:val="Nadpis2"/>
      </w:pPr>
      <w:bookmarkStart w:id="118" w:name="_Toc411520458"/>
      <w:r>
        <w:t>Spolková republika Německo</w:t>
      </w:r>
      <w:bookmarkEnd w:id="118"/>
    </w:p>
    <w:p w:rsidR="004F2F07" w:rsidRDefault="004F2F07" w:rsidP="004F2F07">
      <w:pPr>
        <w:pStyle w:val="Odstavecseseznamem"/>
        <w:numPr>
          <w:ilvl w:val="0"/>
          <w:numId w:val="33"/>
        </w:numPr>
        <w:jc w:val="left"/>
      </w:pPr>
      <w:proofErr w:type="spellStart"/>
      <w:r>
        <w:t>KdB</w:t>
      </w:r>
      <w:proofErr w:type="spellEnd"/>
      <w:r>
        <w:t xml:space="preserve"> (platforma centrálních zadavatelů, která umožňuje spolkovým úřadům nakupovat přes e-</w:t>
      </w:r>
      <w:proofErr w:type="spellStart"/>
      <w:r>
        <w:t>shop</w:t>
      </w:r>
      <w:proofErr w:type="spellEnd"/>
      <w:r>
        <w:t xml:space="preserve"> zboží a služby): </w:t>
      </w:r>
      <w:hyperlink r:id="rId26" w:history="1">
        <w:r w:rsidRPr="00AB0B48">
          <w:rPr>
            <w:rStyle w:val="Hypertextovodkaz"/>
          </w:rPr>
          <w:t>http://www.kdb.bund.de/KdB/DE/Startseite/home_node.html</w:t>
        </w:r>
      </w:hyperlink>
      <w:r>
        <w:t xml:space="preserve"> </w:t>
      </w:r>
    </w:p>
    <w:p w:rsidR="004F2F07" w:rsidRDefault="004F2F07" w:rsidP="004F2F07">
      <w:pPr>
        <w:pStyle w:val="Odstavecseseznamem"/>
        <w:numPr>
          <w:ilvl w:val="0"/>
          <w:numId w:val="33"/>
        </w:numPr>
        <w:jc w:val="left"/>
      </w:pPr>
      <w:r>
        <w:t xml:space="preserve">Centrální zadavatel spolkového Ministerstva vnitra, který koordinuje činnosti dalších spolkových centrálních zadavatelů a spravuje nákupní portál </w:t>
      </w:r>
      <w:proofErr w:type="spellStart"/>
      <w:r>
        <w:t>KdB</w:t>
      </w:r>
      <w:proofErr w:type="spellEnd"/>
      <w:r>
        <w:t>:</w:t>
      </w:r>
      <w:r>
        <w:br/>
      </w:r>
      <w:hyperlink r:id="rId27" w:history="1">
        <w:r w:rsidRPr="00AB0B48">
          <w:rPr>
            <w:rStyle w:val="Hypertextovodkaz"/>
          </w:rPr>
          <w:t>http://www.bescha.bund.de/DE/Startseite/home_node.html</w:t>
        </w:r>
      </w:hyperlink>
      <w:r>
        <w:t xml:space="preserve"> </w:t>
      </w:r>
    </w:p>
    <w:p w:rsidR="004F2F07" w:rsidRDefault="004F2F07" w:rsidP="004F2F07">
      <w:pPr>
        <w:pStyle w:val="Odstavecseseznamem"/>
        <w:numPr>
          <w:ilvl w:val="0"/>
          <w:numId w:val="33"/>
        </w:numPr>
        <w:jc w:val="left"/>
      </w:pPr>
      <w:r>
        <w:t>e-</w:t>
      </w:r>
      <w:proofErr w:type="spellStart"/>
      <w:r>
        <w:t>Vergabe</w:t>
      </w:r>
      <w:proofErr w:type="spellEnd"/>
      <w:r>
        <w:t xml:space="preserve"> (elektronický systém zadávání veřejných zakázek): </w:t>
      </w:r>
      <w:r>
        <w:br/>
      </w:r>
      <w:hyperlink r:id="rId28" w:history="1">
        <w:r w:rsidRPr="00AB0B48">
          <w:rPr>
            <w:rStyle w:val="Hypertextovodkaz"/>
          </w:rPr>
          <w:t>http://www.evergabe-online.info/e-Vergabe/DE/Home/homepage_node.html</w:t>
        </w:r>
      </w:hyperlink>
      <w:r>
        <w:t xml:space="preserve"> </w:t>
      </w:r>
    </w:p>
    <w:p w:rsidR="004F2F07" w:rsidRDefault="004F2F07" w:rsidP="004F2F07">
      <w:pPr>
        <w:pStyle w:val="Odstavecseseznamem"/>
        <w:numPr>
          <w:ilvl w:val="0"/>
          <w:numId w:val="33"/>
        </w:numPr>
        <w:jc w:val="left"/>
      </w:pPr>
      <w:r>
        <w:t xml:space="preserve">Odkaz na stránky spolkového ministerstva hospodářství a energetiky, které poskytuje komplexní informace o veřejných zakázkách: </w:t>
      </w:r>
      <w:hyperlink r:id="rId29" w:history="1">
        <w:r w:rsidRPr="00AB0B48">
          <w:rPr>
            <w:rStyle w:val="Hypertextovodkaz"/>
          </w:rPr>
          <w:t>http://www.bmwi.de/DE/Themen/Wirtschaft/Wettbewerbspolitik/oeffentliche-auftraege,did=190874.html</w:t>
        </w:r>
      </w:hyperlink>
      <w:r>
        <w:t xml:space="preserve"> </w:t>
      </w:r>
    </w:p>
    <w:p w:rsidR="004F2F07" w:rsidRDefault="004F2F07" w:rsidP="004F2F07">
      <w:pPr>
        <w:pStyle w:val="Nadpis2"/>
      </w:pPr>
      <w:bookmarkStart w:id="119" w:name="_Toc411520459"/>
      <w:r>
        <w:lastRenderedPageBreak/>
        <w:t>Francie</w:t>
      </w:r>
      <w:bookmarkEnd w:id="119"/>
    </w:p>
    <w:p w:rsidR="007818A2" w:rsidRDefault="007818A2" w:rsidP="004F2F07">
      <w:pPr>
        <w:pStyle w:val="Odstavecseseznamem"/>
        <w:numPr>
          <w:ilvl w:val="0"/>
          <w:numId w:val="32"/>
        </w:numPr>
        <w:jc w:val="left"/>
      </w:pPr>
      <w:r>
        <w:t xml:space="preserve">Analýza </w:t>
      </w:r>
      <w:r w:rsidRPr="004503FE">
        <w:t xml:space="preserve">OECD </w:t>
      </w:r>
      <w:r>
        <w:t xml:space="preserve">k centrálnímu nákupu státu ve Francii z roku 2011: </w:t>
      </w:r>
      <w:hyperlink r:id="rId30" w:history="1">
        <w:r w:rsidRPr="00BA45CD">
          <w:rPr>
            <w:rStyle w:val="Hypertextovodkaz"/>
          </w:rPr>
          <w:t>http://www.oecd.org/officialdocuments/publicdisplaydocumentpdf/?cote=GOV/SIGMA(2010)3/REV1&amp;docLanguage=En</w:t>
        </w:r>
      </w:hyperlink>
      <w:r>
        <w:t xml:space="preserve"> </w:t>
      </w:r>
    </w:p>
    <w:p w:rsidR="004F2F07" w:rsidRDefault="004F2F07" w:rsidP="004F2F07">
      <w:pPr>
        <w:pStyle w:val="Odstavecseseznamem"/>
        <w:numPr>
          <w:ilvl w:val="0"/>
          <w:numId w:val="32"/>
        </w:numPr>
        <w:jc w:val="left"/>
      </w:pPr>
      <w:r>
        <w:t xml:space="preserve">UGAP (francouzský centrální zadavatel): </w:t>
      </w:r>
      <w:hyperlink r:id="rId31" w:history="1">
        <w:r w:rsidRPr="00AB0B48">
          <w:rPr>
            <w:rStyle w:val="Hypertextovodkaz"/>
          </w:rPr>
          <w:t>http://www.ugap.fr/</w:t>
        </w:r>
      </w:hyperlink>
      <w:r>
        <w:t xml:space="preserve"> </w:t>
      </w:r>
    </w:p>
    <w:p w:rsidR="004F2F07" w:rsidRDefault="004F2F07" w:rsidP="004F2F07">
      <w:pPr>
        <w:pStyle w:val="Odstavecseseznamem"/>
        <w:numPr>
          <w:ilvl w:val="0"/>
          <w:numId w:val="32"/>
        </w:numPr>
        <w:jc w:val="left"/>
      </w:pPr>
      <w:r>
        <w:t xml:space="preserve">Nařízení upravující vznik a fungování UGAP: </w:t>
      </w:r>
      <w:hyperlink r:id="rId32" w:history="1">
        <w:r w:rsidRPr="00AB0B48">
          <w:rPr>
            <w:rStyle w:val="Hypertextovodkaz"/>
          </w:rPr>
          <w:t>http://www.legifrance.gouv.fr/affichTexte.do?cidTexte=JORFTEXT000000501511</w:t>
        </w:r>
      </w:hyperlink>
      <w:r>
        <w:t xml:space="preserve"> </w:t>
      </w:r>
    </w:p>
    <w:p w:rsidR="004F2F07" w:rsidRDefault="004F2F07" w:rsidP="004F2F07">
      <w:pPr>
        <w:pStyle w:val="Odstavecseseznamem"/>
        <w:numPr>
          <w:ilvl w:val="0"/>
          <w:numId w:val="32"/>
        </w:numPr>
        <w:jc w:val="left"/>
      </w:pPr>
      <w:r>
        <w:t xml:space="preserve">SAE (vládní centrální zadavatel): </w:t>
      </w:r>
      <w:hyperlink r:id="rId33" w:history="1">
        <w:r w:rsidRPr="00AB0B48">
          <w:rPr>
            <w:rStyle w:val="Hypertextovodkaz"/>
          </w:rPr>
          <w:t>http://www.economie.gouv.fr/sae</w:t>
        </w:r>
      </w:hyperlink>
      <w:r>
        <w:t xml:space="preserve"> </w:t>
      </w:r>
    </w:p>
    <w:p w:rsidR="004F2F07" w:rsidRDefault="004F2F07" w:rsidP="004F2F07">
      <w:pPr>
        <w:pStyle w:val="Odstavecseseznamem"/>
        <w:numPr>
          <w:ilvl w:val="0"/>
          <w:numId w:val="32"/>
        </w:numPr>
        <w:jc w:val="left"/>
      </w:pPr>
      <w:r>
        <w:t xml:space="preserve">Elektronický systém zadávání veřejných zakázek: </w:t>
      </w:r>
      <w:r>
        <w:br/>
      </w:r>
      <w:hyperlink r:id="rId34" w:history="1">
        <w:r w:rsidRPr="00AB0B48">
          <w:rPr>
            <w:rStyle w:val="Hypertextovodkaz"/>
          </w:rPr>
          <w:t>https://www.marches-publics.gouv.fr/?page=entreprise.EntrepriseHome</w:t>
        </w:r>
      </w:hyperlink>
      <w:r>
        <w:t xml:space="preserve"> </w:t>
      </w:r>
    </w:p>
    <w:p w:rsidR="004F2F07" w:rsidRPr="004F2F07" w:rsidRDefault="004F2F07" w:rsidP="004F2F07">
      <w:pPr>
        <w:pStyle w:val="Odstavecseseznamem"/>
        <w:numPr>
          <w:ilvl w:val="0"/>
          <w:numId w:val="31"/>
        </w:numPr>
        <w:jc w:val="left"/>
        <w:rPr>
          <w:lang w:eastAsia="cs-CZ"/>
        </w:rPr>
      </w:pPr>
      <w:r>
        <w:t xml:space="preserve">Konsolidované znění zákona o zadávání veřejných zakázek: </w:t>
      </w:r>
      <w:hyperlink r:id="rId35" w:history="1">
        <w:r w:rsidRPr="00AB0B48">
          <w:rPr>
            <w:rStyle w:val="Hypertextovodkaz"/>
          </w:rPr>
          <w:t>http://www.legifrance.gouv.fr/affichCode.do?cidTexte=LEGITEXT000005627819</w:t>
        </w:r>
      </w:hyperlink>
    </w:p>
    <w:p w:rsidR="004F2F07" w:rsidRDefault="004F2F07" w:rsidP="004F2F07">
      <w:pPr>
        <w:pStyle w:val="Nadpis2"/>
      </w:pPr>
      <w:bookmarkStart w:id="120" w:name="_Toc411520460"/>
      <w:r>
        <w:t>Itálie</w:t>
      </w:r>
      <w:bookmarkEnd w:id="120"/>
    </w:p>
    <w:p w:rsidR="005433DF" w:rsidRDefault="002E1769" w:rsidP="002E1769">
      <w:pPr>
        <w:pStyle w:val="Odstavecseseznamem"/>
        <w:numPr>
          <w:ilvl w:val="0"/>
          <w:numId w:val="31"/>
        </w:numPr>
      </w:pPr>
      <w:r>
        <w:t>CONSIP (i</w:t>
      </w:r>
      <w:r w:rsidR="005433DF">
        <w:t>talsk</w:t>
      </w:r>
      <w:r>
        <w:t>ý</w:t>
      </w:r>
      <w:r w:rsidR="005433DF">
        <w:t xml:space="preserve"> centrální</w:t>
      </w:r>
      <w:r>
        <w:t xml:space="preserve"> zadavatel): </w:t>
      </w:r>
      <w:hyperlink r:id="rId36" w:history="1">
        <w:r w:rsidRPr="00AB0B48">
          <w:rPr>
            <w:rStyle w:val="Hypertextovodkaz"/>
          </w:rPr>
          <w:t>http://www.consip.it/index.html</w:t>
        </w:r>
      </w:hyperlink>
      <w:r>
        <w:t xml:space="preserve"> </w:t>
      </w:r>
    </w:p>
    <w:p w:rsidR="005433DF" w:rsidRDefault="002E1769" w:rsidP="002E1769">
      <w:pPr>
        <w:pStyle w:val="Odstavecseseznamem"/>
        <w:numPr>
          <w:ilvl w:val="0"/>
          <w:numId w:val="31"/>
        </w:numPr>
        <w:jc w:val="left"/>
      </w:pPr>
      <w:r>
        <w:t>E</w:t>
      </w:r>
      <w:r w:rsidR="005433DF">
        <w:t>lektronické tržiště pro státní správu provozované CONSIP</w:t>
      </w:r>
      <w:r>
        <w:t xml:space="preserve">: </w:t>
      </w:r>
      <w:hyperlink r:id="rId37" w:history="1">
        <w:r w:rsidRPr="00AB0B48">
          <w:rPr>
            <w:rStyle w:val="Hypertextovodkaz"/>
          </w:rPr>
          <w:t>https://www.acquistinretepa.it/opencms/opencms/</w:t>
        </w:r>
      </w:hyperlink>
      <w:r>
        <w:t xml:space="preserve"> </w:t>
      </w:r>
      <w:bookmarkEnd w:id="7"/>
    </w:p>
    <w:sectPr w:rsidR="005433DF" w:rsidSect="002D2F61">
      <w:pgSz w:w="11906" w:h="16838" w:code="9"/>
      <w:pgMar w:top="1702" w:right="1417" w:bottom="1701" w:left="1417" w:header="851" w:footer="3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17C" w:rsidRDefault="00A6117C" w:rsidP="00817955">
      <w:r>
        <w:separator/>
      </w:r>
    </w:p>
  </w:endnote>
  <w:endnote w:type="continuationSeparator" w:id="0">
    <w:p w:rsidR="00A6117C" w:rsidRDefault="00A6117C" w:rsidP="00817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00002FF" w:usb1="4000A47B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22" w:type="dxa"/>
      <w:tblLook w:val="04A0" w:firstRow="1" w:lastRow="0" w:firstColumn="1" w:lastColumn="0" w:noHBand="0" w:noVBand="1"/>
    </w:tblPr>
    <w:tblGrid>
      <w:gridCol w:w="9322"/>
    </w:tblGrid>
    <w:tr w:rsidR="00AC26FF" w:rsidRPr="00AE4A27" w:rsidTr="00817955">
      <w:trPr>
        <w:trHeight w:val="330"/>
      </w:trPr>
      <w:tc>
        <w:tcPr>
          <w:tcW w:w="9322" w:type="dxa"/>
          <w:vAlign w:val="center"/>
        </w:tcPr>
        <w:p w:rsidR="00AC26FF" w:rsidRPr="00AE4A27" w:rsidRDefault="00AC26FF" w:rsidP="00817955">
          <w:pPr>
            <w:pStyle w:val="Zpat"/>
            <w:spacing w:before="0"/>
            <w:jc w:val="center"/>
          </w:pPr>
          <w:r w:rsidRPr="00AE4A27">
            <w:t xml:space="preserve">Strana </w:t>
          </w:r>
          <w:r w:rsidRPr="00AE4A27">
            <w:fldChar w:fldCharType="begin"/>
          </w:r>
          <w:r w:rsidRPr="00AE4A27">
            <w:instrText xml:space="preserve"> PAGE  \* Arabic  \* MERGEFORMAT </w:instrText>
          </w:r>
          <w:r w:rsidRPr="00AE4A27">
            <w:fldChar w:fldCharType="separate"/>
          </w:r>
          <w:r w:rsidR="002B60F5">
            <w:rPr>
              <w:noProof/>
            </w:rPr>
            <w:t>16</w:t>
          </w:r>
          <w:r w:rsidRPr="00AE4A27">
            <w:rPr>
              <w:noProof/>
            </w:rPr>
            <w:fldChar w:fldCharType="end"/>
          </w:r>
          <w:r w:rsidRPr="00AE4A27">
            <w:t xml:space="preserve"> z </w:t>
          </w:r>
          <w:r w:rsidRPr="00AE4A27">
            <w:fldChar w:fldCharType="begin"/>
          </w:r>
          <w:r w:rsidRPr="00AE4A27">
            <w:instrText>NUMPAGES</w:instrText>
          </w:r>
          <w:r w:rsidRPr="00AE4A27">
            <w:fldChar w:fldCharType="separate"/>
          </w:r>
          <w:r w:rsidR="002B60F5">
            <w:rPr>
              <w:noProof/>
            </w:rPr>
            <w:t>16</w:t>
          </w:r>
          <w:r w:rsidRPr="00AE4A27">
            <w:rPr>
              <w:noProof/>
            </w:rPr>
            <w:fldChar w:fldCharType="end"/>
          </w:r>
        </w:p>
      </w:tc>
    </w:tr>
  </w:tbl>
  <w:p w:rsidR="00AC26FF" w:rsidRPr="00AE4A27" w:rsidRDefault="00AC26FF" w:rsidP="0081795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17C" w:rsidRDefault="00A6117C" w:rsidP="00817955">
      <w:r>
        <w:separator/>
      </w:r>
    </w:p>
  </w:footnote>
  <w:footnote w:type="continuationSeparator" w:id="0">
    <w:p w:rsidR="00A6117C" w:rsidRDefault="00A6117C" w:rsidP="00817955">
      <w:r>
        <w:continuationSeparator/>
      </w:r>
    </w:p>
  </w:footnote>
  <w:footnote w:id="1">
    <w:p w:rsidR="00AC26FF" w:rsidRDefault="00AC26FF">
      <w:pPr>
        <w:pStyle w:val="Textpoznpodarou"/>
      </w:pPr>
      <w:r>
        <w:rPr>
          <w:rStyle w:val="Znakapoznpodarou"/>
        </w:rPr>
        <w:footnoteRef/>
      </w:r>
      <w:r>
        <w:t xml:space="preserve"> Konsolidované znění spolkového zákona o zřízení BBG je zveřejněno na tomto odkazu </w:t>
      </w:r>
      <w:hyperlink r:id="rId1" w:history="1">
        <w:r w:rsidRPr="00AB0B48">
          <w:rPr>
            <w:rStyle w:val="Hypertextovodkaz"/>
          </w:rPr>
          <w:t>http://www.bbg.gv.at/kunden/beratung/vergabekompetenz-center/gesetze-verordnungen/bestimmungen-zur-bbg/</w:t>
        </w:r>
      </w:hyperlink>
      <w:r>
        <w:rPr>
          <w:rStyle w:val="Hypertextovodkaz"/>
        </w:rPr>
        <w:t>.</w:t>
      </w:r>
    </w:p>
  </w:footnote>
  <w:footnote w:id="2">
    <w:p w:rsidR="00AC26FF" w:rsidRDefault="00AC26FF" w:rsidP="00E163ED">
      <w:pPr>
        <w:pStyle w:val="Textpoznpodarou"/>
      </w:pPr>
      <w:r>
        <w:rPr>
          <w:rStyle w:val="Znakapoznpodarou"/>
        </w:rPr>
        <w:footnoteRef/>
      </w:r>
      <w:r>
        <w:t xml:space="preserve"> Organizační struktura BBG je zveřejněna na tomto odkazu: </w:t>
      </w:r>
      <w:hyperlink r:id="rId2" w:history="1">
        <w:r w:rsidRPr="00E21F28">
          <w:rPr>
            <w:rStyle w:val="Hypertextovodkaz"/>
          </w:rPr>
          <w:t>http://www.bbg.gv.at/ueber-uns/unternehmen/organisation/</w:t>
        </w:r>
      </w:hyperlink>
      <w:r>
        <w:t xml:space="preserve">. </w:t>
      </w:r>
    </w:p>
  </w:footnote>
  <w:footnote w:id="3">
    <w:p w:rsidR="00AC26FF" w:rsidRDefault="00AC26FF">
      <w:pPr>
        <w:pStyle w:val="Textpoznpodarou"/>
      </w:pPr>
      <w:r>
        <w:rPr>
          <w:rStyle w:val="Znakapoznpodarou"/>
        </w:rPr>
        <w:footnoteRef/>
      </w:r>
      <w:r>
        <w:t xml:space="preserve"> Celkový přehled organizací, které jsou povinny využívat BBG, je uveden na následujícím odkazu: </w:t>
      </w:r>
      <w:hyperlink r:id="rId3" w:history="1">
        <w:r w:rsidRPr="00BA45CD">
          <w:rPr>
            <w:rStyle w:val="Hypertextovodkaz"/>
          </w:rPr>
          <w:t>http://www.bbg.gv.at/lieferanten/kundenlisten/bund/</w:t>
        </w:r>
      </w:hyperlink>
      <w:r>
        <w:t xml:space="preserve">.  </w:t>
      </w:r>
    </w:p>
  </w:footnote>
  <w:footnote w:id="4">
    <w:p w:rsidR="00AC26FF" w:rsidRDefault="00AC26FF" w:rsidP="00AC3663">
      <w:pPr>
        <w:pStyle w:val="Textpoznpodarou"/>
      </w:pPr>
      <w:r>
        <w:rPr>
          <w:rStyle w:val="Znakapoznpodarou"/>
        </w:rPr>
        <w:footnoteRef/>
      </w:r>
      <w:r>
        <w:t xml:space="preserve"> Vzor smlouvy je zveřejněn na webových stránkách BBG, viz </w:t>
      </w:r>
      <w:hyperlink r:id="rId4" w:history="1">
        <w:r w:rsidRPr="00E21F28">
          <w:rPr>
            <w:rStyle w:val="Hypertextovodkaz"/>
          </w:rPr>
          <w:t>http://www.bbg.gv.at/kunden/bbg-kunde-werden/vereinbarung/</w:t>
        </w:r>
      </w:hyperlink>
      <w:r>
        <w:t xml:space="preserve">. </w:t>
      </w:r>
    </w:p>
  </w:footnote>
  <w:footnote w:id="5">
    <w:p w:rsidR="00AC26FF" w:rsidRDefault="00AC26FF">
      <w:pPr>
        <w:pStyle w:val="Textpoznpodarou"/>
      </w:pPr>
      <w:r>
        <w:rPr>
          <w:rStyle w:val="Znakapoznpodarou"/>
        </w:rPr>
        <w:footnoteRef/>
      </w:r>
      <w:r>
        <w:t xml:space="preserve"> Tento poplatek zahrnuje registraci dvou uživatelů a přístup ke službám E-</w:t>
      </w:r>
      <w:proofErr w:type="spellStart"/>
      <w:r>
        <w:t>Procurement</w:t>
      </w:r>
      <w:proofErr w:type="spellEnd"/>
      <w:r>
        <w:t>. Pokud je požadován přístup pro více uživatelů, poplatek se pohybuje v rozmezí 54 – 84 EUR vč. DPH v závislosti na celkovém počtu uživatelů.</w:t>
      </w:r>
    </w:p>
  </w:footnote>
  <w:footnote w:id="6">
    <w:p w:rsidR="00AC26FF" w:rsidRDefault="00AC26FF" w:rsidP="00817955">
      <w:pPr>
        <w:pStyle w:val="Textpoznpodarou"/>
      </w:pPr>
      <w:r>
        <w:rPr>
          <w:rStyle w:val="Znakapoznpodarou"/>
        </w:rPr>
        <w:footnoteRef/>
      </w:r>
      <w:r>
        <w:rPr>
          <w:b/>
        </w:rPr>
        <w:t xml:space="preserve"> </w:t>
      </w:r>
      <w:r>
        <w:t>Původní znění § 4</w:t>
      </w:r>
      <w:r w:rsidRPr="000B5A8D">
        <w:t xml:space="preserve"> </w:t>
      </w:r>
      <w:r>
        <w:t>odst. 2 zákona o BBG: „</w:t>
      </w:r>
      <w:r w:rsidRPr="00023562">
        <w:rPr>
          <w:i/>
        </w:rPr>
        <w:t xml:space="preserve">(…) </w:t>
      </w:r>
      <w:proofErr w:type="spellStart"/>
      <w:r w:rsidRPr="00023562">
        <w:rPr>
          <w:i/>
        </w:rPr>
        <w:t>zur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Deckung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eines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unmittelbar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notwendigen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Bedarfes</w:t>
      </w:r>
      <w:proofErr w:type="spellEnd"/>
      <w:r w:rsidRPr="00023562">
        <w:rPr>
          <w:i/>
        </w:rPr>
        <w:t xml:space="preserve">, </w:t>
      </w:r>
      <w:proofErr w:type="spellStart"/>
      <w:r w:rsidRPr="00023562">
        <w:rPr>
          <w:i/>
        </w:rPr>
        <w:t>wenn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dringliche</w:t>
      </w:r>
      <w:proofErr w:type="spellEnd"/>
      <w:r w:rsidRPr="00023562">
        <w:rPr>
          <w:i/>
        </w:rPr>
        <w:t xml:space="preserve">, </w:t>
      </w:r>
      <w:proofErr w:type="spellStart"/>
      <w:r w:rsidRPr="00023562">
        <w:rPr>
          <w:i/>
        </w:rPr>
        <w:t>zwingende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Gründe</w:t>
      </w:r>
      <w:proofErr w:type="spellEnd"/>
      <w:r w:rsidRPr="00023562">
        <w:rPr>
          <w:i/>
        </w:rPr>
        <w:t xml:space="preserve">, </w:t>
      </w:r>
      <w:proofErr w:type="spellStart"/>
      <w:r w:rsidRPr="00023562">
        <w:rPr>
          <w:i/>
        </w:rPr>
        <w:t>die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nicht</w:t>
      </w:r>
      <w:proofErr w:type="spellEnd"/>
      <w:r w:rsidRPr="00023562">
        <w:rPr>
          <w:i/>
        </w:rPr>
        <w:t xml:space="preserve"> dem </w:t>
      </w:r>
      <w:proofErr w:type="spellStart"/>
      <w:r w:rsidRPr="00023562">
        <w:rPr>
          <w:i/>
        </w:rPr>
        <w:t>Verhalten</w:t>
      </w:r>
      <w:proofErr w:type="spellEnd"/>
      <w:r w:rsidRPr="00023562">
        <w:rPr>
          <w:i/>
        </w:rPr>
        <w:t xml:space="preserve"> der </w:t>
      </w:r>
      <w:proofErr w:type="spellStart"/>
      <w:r w:rsidRPr="00023562">
        <w:rPr>
          <w:i/>
        </w:rPr>
        <w:t>Dienststelle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zuzuschreiben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sind</w:t>
      </w:r>
      <w:proofErr w:type="spellEnd"/>
      <w:r w:rsidRPr="00023562">
        <w:rPr>
          <w:i/>
        </w:rPr>
        <w:t xml:space="preserve">, </w:t>
      </w:r>
      <w:proofErr w:type="spellStart"/>
      <w:r w:rsidRPr="00023562">
        <w:rPr>
          <w:i/>
        </w:rPr>
        <w:t>im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Zusammenhang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mit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Ereignissen</w:t>
      </w:r>
      <w:proofErr w:type="spellEnd"/>
      <w:r w:rsidRPr="00023562">
        <w:rPr>
          <w:i/>
        </w:rPr>
        <w:t xml:space="preserve">, </w:t>
      </w:r>
      <w:proofErr w:type="spellStart"/>
      <w:r w:rsidRPr="00023562">
        <w:rPr>
          <w:i/>
        </w:rPr>
        <w:t>die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die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Dienststelle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nicht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voraussehen</w:t>
      </w:r>
      <w:proofErr w:type="spellEnd"/>
      <w:r w:rsidRPr="00023562">
        <w:rPr>
          <w:i/>
        </w:rPr>
        <w:t xml:space="preserve"> </w:t>
      </w:r>
      <w:proofErr w:type="spellStart"/>
      <w:r w:rsidRPr="00023562">
        <w:rPr>
          <w:i/>
        </w:rPr>
        <w:t>konnte</w:t>
      </w:r>
      <w:proofErr w:type="spellEnd"/>
      <w:r w:rsidRPr="00023562">
        <w:rPr>
          <w:i/>
        </w:rPr>
        <w:t xml:space="preserve"> (…)</w:t>
      </w:r>
      <w:r>
        <w:rPr>
          <w:i/>
        </w:rPr>
        <w:t>“</w:t>
      </w:r>
    </w:p>
  </w:footnote>
  <w:footnote w:id="7">
    <w:p w:rsidR="00AC26FF" w:rsidRDefault="00AC26FF">
      <w:pPr>
        <w:pStyle w:val="Textpoznpodarou"/>
      </w:pPr>
      <w:r>
        <w:rPr>
          <w:rStyle w:val="Znakapoznpodarou"/>
        </w:rPr>
        <w:footnoteRef/>
      </w:r>
      <w:r>
        <w:t xml:space="preserve"> Konsolidované znění vyhlášky ministra financí o typech zboží, které musí být nakupováno prostřednictvím BBG: </w:t>
      </w:r>
      <w:hyperlink r:id="rId5" w:history="1">
        <w:r w:rsidRPr="00AB0B48">
          <w:rPr>
            <w:rStyle w:val="Hypertextovodkaz"/>
          </w:rPr>
          <w:t>http://www.bbg.gv.at/kunden/beratung/vergabekompetenz-center/gesetze-verordnungen/bestimmungen-zur-bbg/</w:t>
        </w:r>
      </w:hyperlink>
    </w:p>
  </w:footnote>
  <w:footnote w:id="8">
    <w:p w:rsidR="00AC26FF" w:rsidRDefault="00AC26FF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proofErr w:type="spellStart"/>
      <w:r>
        <w:rPr>
          <w:i/>
        </w:rPr>
        <w:t>Nutzerbeirat</w:t>
      </w:r>
      <w:proofErr w:type="spellEnd"/>
      <w:r>
        <w:t xml:space="preserve"> se dle zákona o BBG skládá ze zástupců nejméně 9 institucí – kanceláře Prezidenta, předsedy horní a dolní komory parlamentu, ústavního soudu, správního soudu, státního zastupitelství, účetního dvora, jednotlivých ministerstev a kabinetu spolkového kancléře. Případně může být tento orgán rozšířen o další členy.</w:t>
      </w:r>
    </w:p>
  </w:footnote>
  <w:footnote w:id="9">
    <w:p w:rsidR="00AC26FF" w:rsidRDefault="00AC26FF">
      <w:pPr>
        <w:pStyle w:val="Textpoznpodarou"/>
      </w:pPr>
      <w:r>
        <w:rPr>
          <w:rStyle w:val="Znakapoznpodarou"/>
        </w:rPr>
        <w:footnoteRef/>
      </w:r>
      <w:r>
        <w:t xml:space="preserve"> Úplné znění zákona je zveřejněno na následujícím odkazu: </w:t>
      </w:r>
      <w:hyperlink r:id="rId6" w:history="1">
        <w:r w:rsidRPr="00E21F28">
          <w:rPr>
            <w:rStyle w:val="Hypertextovodkaz"/>
          </w:rPr>
          <w:t>https://www.ris.bka.gv.at/GeltendeFassung.wxe?Abfrage=Bundesnormen&amp;Gesetzesnummer=20004547</w:t>
        </w:r>
      </w:hyperlink>
      <w:r>
        <w:t xml:space="preserve">. </w:t>
      </w:r>
    </w:p>
  </w:footnote>
  <w:footnote w:id="10">
    <w:p w:rsidR="00F23703" w:rsidRDefault="00F23703" w:rsidP="00F23703">
      <w:pPr>
        <w:pStyle w:val="Textpoznpodarou"/>
      </w:pPr>
      <w:r>
        <w:rPr>
          <w:rStyle w:val="Znakapoznpodarou"/>
        </w:rPr>
        <w:footnoteRef/>
      </w:r>
      <w:r>
        <w:t xml:space="preserve"> Jedná se o tzv. </w:t>
      </w:r>
      <w:proofErr w:type="spellStart"/>
      <w:r>
        <w:rPr>
          <w:i/>
        </w:rPr>
        <w:t>Executive</w:t>
      </w:r>
      <w:proofErr w:type="spellEnd"/>
      <w:r>
        <w:rPr>
          <w:i/>
        </w:rPr>
        <w:t xml:space="preserve"> </w:t>
      </w:r>
      <w:proofErr w:type="spellStart"/>
      <w:r w:rsidRPr="00023562">
        <w:t>agency</w:t>
      </w:r>
      <w:proofErr w:type="spellEnd"/>
      <w:r>
        <w:t>, pracoviště s vlastním rozpočtem a managementem, které formálně spadá pod příslušný orgán ústřední státní správy (např. ministerstvo). Tato pracoviště jsou využívána především pro konkrétní specializované úkoly, kde není třeba velká koordinace s ostatními částmi státní správy. Jednou za rok musí předkládat zprávy o své činnosti, za kterou jsou odpovědné parlamentu.</w:t>
      </w:r>
    </w:p>
  </w:footnote>
  <w:footnote w:id="11">
    <w:p w:rsidR="00AC26FF" w:rsidRDefault="00AC26FF">
      <w:pPr>
        <w:pStyle w:val="Textpoznpodarou"/>
      </w:pPr>
      <w:r>
        <w:rPr>
          <w:rStyle w:val="Znakapoznpodarou"/>
        </w:rPr>
        <w:footnoteRef/>
      </w:r>
      <w:r>
        <w:t xml:space="preserve"> Veškeré informace jsou k dispozici na následujícím odkazu: </w:t>
      </w:r>
      <w:hyperlink r:id="rId7" w:history="1">
        <w:r w:rsidRPr="008F1597">
          <w:rPr>
            <w:rStyle w:val="Hypertextovodkaz"/>
          </w:rPr>
          <w:t>http://www.publiccontractsscotland.gov.uk/</w:t>
        </w:r>
      </w:hyperlink>
      <w:r>
        <w:t xml:space="preserve">. </w:t>
      </w:r>
    </w:p>
  </w:footnote>
  <w:footnote w:id="12">
    <w:p w:rsidR="008C66DB" w:rsidRDefault="008C66DB" w:rsidP="008C66DB">
      <w:pPr>
        <w:pStyle w:val="Textpoznpodarou"/>
      </w:pPr>
      <w:r>
        <w:rPr>
          <w:rStyle w:val="Znakapoznpodarou"/>
        </w:rPr>
        <w:footnoteRef/>
      </w:r>
      <w:r>
        <w:t xml:space="preserve"> Znění nařízení je k dispozici na tomto odkazu: </w:t>
      </w:r>
      <w:hyperlink r:id="rId8" w:history="1">
        <w:r w:rsidRPr="00AB0B48">
          <w:rPr>
            <w:rStyle w:val="Hypertextovodkaz"/>
          </w:rPr>
          <w:t>http://eur-lex.europa.eu/legal-content/CS/TXT/?uri=CELEX:32013R1336</w:t>
        </w:r>
      </w:hyperlink>
      <w:r>
        <w:rPr>
          <w:rStyle w:val="Hypertextovodkaz"/>
        </w:rPr>
        <w:t xml:space="preserve">. </w:t>
      </w:r>
    </w:p>
  </w:footnote>
  <w:footnote w:id="13">
    <w:p w:rsidR="00AC26FF" w:rsidRDefault="00AC26FF">
      <w:pPr>
        <w:pStyle w:val="Textpoznpodarou"/>
      </w:pPr>
      <w:r>
        <w:rPr>
          <w:rStyle w:val="Znakapoznpodarou"/>
        </w:rPr>
        <w:footnoteRef/>
      </w:r>
      <w:r>
        <w:t xml:space="preserve"> Blíže viz </w:t>
      </w:r>
      <w:hyperlink r:id="rId9" w:history="1">
        <w:r w:rsidRPr="006135F9">
          <w:rPr>
            <w:rStyle w:val="Hypertextovodkaz"/>
          </w:rPr>
          <w:t>https://www.contractsfinder.businesslink.gov.uk</w:t>
        </w:r>
      </w:hyperlink>
    </w:p>
  </w:footnote>
  <w:footnote w:id="14">
    <w:p w:rsidR="00AC26FF" w:rsidRDefault="00AC26FF">
      <w:pPr>
        <w:pStyle w:val="Textpoznpodarou"/>
      </w:pPr>
      <w:r>
        <w:rPr>
          <w:rStyle w:val="Znakapoznpodarou"/>
        </w:rPr>
        <w:footnoteRef/>
      </w:r>
      <w:r>
        <w:t xml:space="preserve"> Přehled uzavřených rámcových smluv je ke stažení na tomto odkazu: </w:t>
      </w:r>
      <w:hyperlink r:id="rId10" w:history="1">
        <w:r w:rsidRPr="008F1597">
          <w:rPr>
            <w:rStyle w:val="Hypertextovodkaz"/>
          </w:rPr>
          <w:t>http://www.kdb.bund.de/SharedDocs/Downloads/02_kdb_subsite/gesetze_beschluesse_etc/ProduktlisteZustaendigkeiten.html?nn=4069036</w:t>
        </w:r>
      </w:hyperlink>
      <w:r>
        <w:t xml:space="preserve"> </w:t>
      </w:r>
    </w:p>
  </w:footnote>
  <w:footnote w:id="15">
    <w:p w:rsidR="00AC26FF" w:rsidRDefault="00AC26FF">
      <w:pPr>
        <w:pStyle w:val="Textpoznpodarou"/>
      </w:pPr>
      <w:r>
        <w:rPr>
          <w:rStyle w:val="Znakapoznpodarou"/>
        </w:rPr>
        <w:footnoteRef/>
      </w:r>
      <w:r>
        <w:t xml:space="preserve"> Informace o elektronickém systému e-</w:t>
      </w:r>
      <w:proofErr w:type="spellStart"/>
      <w:r>
        <w:t>Vergabe</w:t>
      </w:r>
      <w:proofErr w:type="spellEnd"/>
      <w:r>
        <w:t xml:space="preserve"> jsou k dispozici na následujících webových stránkách: </w:t>
      </w:r>
      <w:hyperlink r:id="rId11" w:history="1">
        <w:r w:rsidRPr="008F1597">
          <w:rPr>
            <w:rStyle w:val="Hypertextovodkaz"/>
          </w:rPr>
          <w:t>http://www.evergabe-online.info/e-Vergabe/DE/Home/homepage_node.html</w:t>
        </w:r>
      </w:hyperlink>
      <w:r>
        <w:t>.</w:t>
      </w:r>
    </w:p>
  </w:footnote>
  <w:footnote w:id="16">
    <w:p w:rsidR="00AC26FF" w:rsidRDefault="00AC26FF" w:rsidP="004503FE">
      <w:pPr>
        <w:pStyle w:val="Textpoznpodarou"/>
      </w:pPr>
      <w:r>
        <w:rPr>
          <w:rStyle w:val="Znakapoznpodarou"/>
        </w:rPr>
        <w:footnoteRef/>
      </w:r>
      <w:r>
        <w:t xml:space="preserve"> Analýza je k nahlédnutí zde: </w:t>
      </w:r>
      <w:hyperlink r:id="rId12" w:history="1">
        <w:r w:rsidRPr="008F1597">
          <w:rPr>
            <w:rStyle w:val="Hypertextovodkaz"/>
          </w:rPr>
          <w:t>http://www.bescha.bund.de/SharedDocs/Downloads/02_kdb_subsite/gesetze_beschluesse_etc/einsparungsmonitor.html;jsessionid=D40F719EA90A11E62212251147CDABF8.1_cid389</w:t>
        </w:r>
      </w:hyperlink>
      <w:r>
        <w:t>.</w:t>
      </w:r>
    </w:p>
  </w:footnote>
  <w:footnote w:id="17">
    <w:p w:rsidR="00AC26FF" w:rsidRDefault="00AC26FF" w:rsidP="00817955">
      <w:pPr>
        <w:pStyle w:val="Textpoznpodarou"/>
      </w:pPr>
      <w:r>
        <w:rPr>
          <w:rStyle w:val="Znakapoznpodarou"/>
        </w:rPr>
        <w:footnoteRef/>
      </w:r>
      <w:r>
        <w:t xml:space="preserve"> Většina informací pochází z analýzy </w:t>
      </w:r>
      <w:r w:rsidRPr="004503FE">
        <w:t xml:space="preserve">OECD vypracované </w:t>
      </w:r>
      <w:r>
        <w:t xml:space="preserve">v roce 2011, viz </w:t>
      </w:r>
      <w:hyperlink r:id="rId13" w:history="1">
        <w:r w:rsidRPr="00BA45CD">
          <w:rPr>
            <w:rStyle w:val="Hypertextovodkaz"/>
          </w:rPr>
          <w:t>http://www.oecd.org/officialdocuments/publicdisplaydocumentpdf/?cote=GOV/SIGMA(2010)3/REV1&amp;docLanguage=En</w:t>
        </w:r>
      </w:hyperlink>
      <w:r>
        <w:t xml:space="preserve">. </w:t>
      </w:r>
    </w:p>
  </w:footnote>
  <w:footnote w:id="18">
    <w:p w:rsidR="00AC26FF" w:rsidRDefault="00AC26FF">
      <w:pPr>
        <w:pStyle w:val="Textpoznpodarou"/>
      </w:pPr>
      <w:r>
        <w:rPr>
          <w:rStyle w:val="Znakapoznpodarou"/>
        </w:rPr>
        <w:footnoteRef/>
      </w:r>
      <w:r>
        <w:t xml:space="preserve"> Blíže viz </w:t>
      </w:r>
      <w:hyperlink r:id="rId14" w:history="1">
        <w:r w:rsidRPr="00AB0B48">
          <w:rPr>
            <w:rStyle w:val="Hypertextovodkaz"/>
          </w:rPr>
          <w:t>http://www.ugap.fr/</w:t>
        </w:r>
      </w:hyperlink>
      <w:r>
        <w:t>.</w:t>
      </w:r>
    </w:p>
  </w:footnote>
  <w:footnote w:id="19">
    <w:p w:rsidR="00AC26FF" w:rsidRDefault="00AC26FF" w:rsidP="004E4B53">
      <w:pPr>
        <w:pStyle w:val="Textpoznpodarou"/>
      </w:pPr>
      <w:r>
        <w:rPr>
          <w:rStyle w:val="Znakapoznpodarou"/>
        </w:rPr>
        <w:footnoteRef/>
      </w:r>
      <w:r>
        <w:t xml:space="preserve"> Elektronický systém pro zadávání veřejných zakázek je přístupný na tomto odkazu: </w:t>
      </w:r>
      <w:hyperlink r:id="rId15" w:history="1">
        <w:r w:rsidRPr="008F1597">
          <w:rPr>
            <w:rStyle w:val="Hypertextovodkaz"/>
          </w:rPr>
          <w:t>https://www.marches-publics.gouv.fr/index.php?page=entreprise.EntrepriseHome&amp;lang=en</w:t>
        </w:r>
      </w:hyperlink>
      <w:r>
        <w:t xml:space="preserve"> </w:t>
      </w:r>
    </w:p>
  </w:footnote>
  <w:footnote w:id="20">
    <w:p w:rsidR="00AC26FF" w:rsidRDefault="00AC26FF">
      <w:pPr>
        <w:pStyle w:val="Textpoznpodarou"/>
      </w:pPr>
      <w:r>
        <w:rPr>
          <w:rStyle w:val="Znakapoznpodarou"/>
        </w:rPr>
        <w:footnoteRef/>
      </w:r>
      <w:r>
        <w:t xml:space="preserve"> UGAP např. poskytuje nemocnicím operativní leasing drahých lékařských přístrojů, smlouva je uzavřena na 5 let s možností prodloužení až o 2 roky. V průběhu doby pronájmu je možné přístroje dovybavovat.</w:t>
      </w:r>
    </w:p>
  </w:footnote>
  <w:footnote w:id="21">
    <w:p w:rsidR="00AC26FF" w:rsidRDefault="00AC26FF" w:rsidP="00817955">
      <w:pPr>
        <w:pStyle w:val="Textpoznpodarou"/>
      </w:pPr>
      <w:r>
        <w:rPr>
          <w:rStyle w:val="Znakapoznpodarou"/>
        </w:rPr>
        <w:footnoteRef/>
      </w:r>
      <w:r>
        <w:t xml:space="preserve"> Informace jsou aktuální k roku 2012</w:t>
      </w:r>
    </w:p>
  </w:footnote>
  <w:footnote w:id="22">
    <w:p w:rsidR="00AC26FF" w:rsidRDefault="00AC26FF">
      <w:pPr>
        <w:pStyle w:val="Textpoznpodarou"/>
      </w:pPr>
      <w:r>
        <w:rPr>
          <w:rStyle w:val="Znakapoznpodarou"/>
        </w:rPr>
        <w:footnoteRef/>
      </w:r>
      <w:r>
        <w:t xml:space="preserve"> Blíže viz </w:t>
      </w:r>
      <w:hyperlink r:id="rId16" w:history="1">
        <w:r w:rsidRPr="00AB0B48">
          <w:rPr>
            <w:rStyle w:val="Hypertextovodkaz"/>
          </w:rPr>
          <w:t>https://www.acquistinretepa.it/opencms/opencms/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6FF" w:rsidRPr="005C26D5" w:rsidRDefault="00AC26FF" w:rsidP="00C26520">
    <w:pPr>
      <w:pStyle w:val="Zhlav"/>
      <w:ind w:firstLine="5103"/>
      <w:jc w:val="right"/>
      <w:rPr>
        <w:i/>
      </w:rP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3E3590F2" wp14:editId="28066B22">
          <wp:simplePos x="0" y="0"/>
          <wp:positionH relativeFrom="column">
            <wp:posOffset>-74295</wp:posOffset>
          </wp:positionH>
          <wp:positionV relativeFrom="paragraph">
            <wp:posOffset>-61595</wp:posOffset>
          </wp:positionV>
          <wp:extent cx="1543792" cy="520445"/>
          <wp:effectExtent l="0" t="0" r="0" b="0"/>
          <wp:wrapNone/>
          <wp:docPr id="5" name="Obrázek 5" descr="http://www.lookcool.cz/wp-content/uploads/2013/12/Ministerstvo-financ%C3%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lookcool.cz/wp-content/uploads/2013/12/Ministerstvo-financ%C3%A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792" cy="520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ptab w:relativeTo="margin" w:alignment="center" w:leader="none"/>
    </w:r>
    <w:r w:rsidRPr="00C26520">
      <w:rPr>
        <w:sz w:val="18"/>
        <w:szCs w:val="18"/>
      </w:rPr>
      <w:t>Analýza praxe a zkušeností s realizací centrálního nákupu státu ve vybraných zemích EU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B422A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CE869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B24C8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91816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0D20E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3228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E34CD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FB229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3368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C72D3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16568C"/>
    <w:multiLevelType w:val="multilevel"/>
    <w:tmpl w:val="233ABA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728" w:hanging="10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7EC088A"/>
    <w:multiLevelType w:val="hybridMultilevel"/>
    <w:tmpl w:val="3FEA680E"/>
    <w:lvl w:ilvl="0" w:tplc="57F6D3F8">
      <w:start w:val="1"/>
      <w:numFmt w:val="decimal"/>
      <w:pStyle w:val="slovn"/>
      <w:lvlText w:val="%1."/>
      <w:lvlJc w:val="left"/>
      <w:pPr>
        <w:ind w:left="78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841B55"/>
    <w:multiLevelType w:val="multilevel"/>
    <w:tmpl w:val="C13CAABC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>
    <w:nsid w:val="1DA9083B"/>
    <w:multiLevelType w:val="hybridMultilevel"/>
    <w:tmpl w:val="D62A94C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AF0297"/>
    <w:multiLevelType w:val="hybridMultilevel"/>
    <w:tmpl w:val="2FD8CD10"/>
    <w:lvl w:ilvl="0" w:tplc="0405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>
    <w:nsid w:val="1EB67193"/>
    <w:multiLevelType w:val="hybridMultilevel"/>
    <w:tmpl w:val="C83AEC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2F32DD"/>
    <w:multiLevelType w:val="hybridMultilevel"/>
    <w:tmpl w:val="61A212E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8A5114"/>
    <w:multiLevelType w:val="hybridMultilevel"/>
    <w:tmpl w:val="B1C67E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244852"/>
    <w:multiLevelType w:val="hybridMultilevel"/>
    <w:tmpl w:val="8416E9D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9147D7"/>
    <w:multiLevelType w:val="hybridMultilevel"/>
    <w:tmpl w:val="7F5C521A"/>
    <w:lvl w:ilvl="0" w:tplc="A9B648E2">
      <w:numFmt w:val="bullet"/>
      <w:lvlText w:val="–"/>
      <w:lvlJc w:val="left"/>
      <w:pPr>
        <w:ind w:left="405" w:hanging="360"/>
      </w:pPr>
      <w:rPr>
        <w:rFonts w:ascii="Cambria" w:eastAsiaTheme="minorEastAsia" w:hAnsi="Cambria" w:cs="Tahoma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>
    <w:nsid w:val="334236C4"/>
    <w:multiLevelType w:val="hybridMultilevel"/>
    <w:tmpl w:val="92427444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39E073F6"/>
    <w:multiLevelType w:val="hybridMultilevel"/>
    <w:tmpl w:val="D77A16E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4E2CE4"/>
    <w:multiLevelType w:val="hybridMultilevel"/>
    <w:tmpl w:val="B8F05F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D17C4A"/>
    <w:multiLevelType w:val="hybridMultilevel"/>
    <w:tmpl w:val="E55CAC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550BF1"/>
    <w:multiLevelType w:val="hybridMultilevel"/>
    <w:tmpl w:val="1E9CA4EC"/>
    <w:lvl w:ilvl="0" w:tplc="C7B02136">
      <w:start w:val="1"/>
      <w:numFmt w:val="bullet"/>
      <w:pStyle w:val="47Textvbuletkc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66F4EC">
      <w:start w:val="1"/>
      <w:numFmt w:val="bullet"/>
      <w:pStyle w:val="47Textvbuletkch2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501D25"/>
    <w:multiLevelType w:val="hybridMultilevel"/>
    <w:tmpl w:val="9A0641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DD785F"/>
    <w:multiLevelType w:val="hybridMultilevel"/>
    <w:tmpl w:val="16900A06"/>
    <w:lvl w:ilvl="0" w:tplc="04050011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56" w:hanging="360"/>
      </w:pPr>
    </w:lvl>
    <w:lvl w:ilvl="2" w:tplc="0405001B" w:tentative="1">
      <w:start w:val="1"/>
      <w:numFmt w:val="lowerRoman"/>
      <w:lvlText w:val="%3."/>
      <w:lvlJc w:val="right"/>
      <w:pPr>
        <w:ind w:left="2376" w:hanging="180"/>
      </w:pPr>
    </w:lvl>
    <w:lvl w:ilvl="3" w:tplc="0405000F" w:tentative="1">
      <w:start w:val="1"/>
      <w:numFmt w:val="decimal"/>
      <w:lvlText w:val="%4."/>
      <w:lvlJc w:val="left"/>
      <w:pPr>
        <w:ind w:left="3096" w:hanging="360"/>
      </w:pPr>
    </w:lvl>
    <w:lvl w:ilvl="4" w:tplc="04050019" w:tentative="1">
      <w:start w:val="1"/>
      <w:numFmt w:val="lowerLetter"/>
      <w:lvlText w:val="%5."/>
      <w:lvlJc w:val="left"/>
      <w:pPr>
        <w:ind w:left="3816" w:hanging="360"/>
      </w:pPr>
    </w:lvl>
    <w:lvl w:ilvl="5" w:tplc="0405001B" w:tentative="1">
      <w:start w:val="1"/>
      <w:numFmt w:val="lowerRoman"/>
      <w:lvlText w:val="%6."/>
      <w:lvlJc w:val="right"/>
      <w:pPr>
        <w:ind w:left="4536" w:hanging="180"/>
      </w:pPr>
    </w:lvl>
    <w:lvl w:ilvl="6" w:tplc="0405000F" w:tentative="1">
      <w:start w:val="1"/>
      <w:numFmt w:val="decimal"/>
      <w:lvlText w:val="%7."/>
      <w:lvlJc w:val="left"/>
      <w:pPr>
        <w:ind w:left="5256" w:hanging="360"/>
      </w:pPr>
    </w:lvl>
    <w:lvl w:ilvl="7" w:tplc="04050019" w:tentative="1">
      <w:start w:val="1"/>
      <w:numFmt w:val="lowerLetter"/>
      <w:lvlText w:val="%8."/>
      <w:lvlJc w:val="left"/>
      <w:pPr>
        <w:ind w:left="5976" w:hanging="360"/>
      </w:pPr>
    </w:lvl>
    <w:lvl w:ilvl="8" w:tplc="0405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7">
    <w:nsid w:val="55696CCC"/>
    <w:multiLevelType w:val="hybridMultilevel"/>
    <w:tmpl w:val="2084F2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900DF4"/>
    <w:multiLevelType w:val="hybridMultilevel"/>
    <w:tmpl w:val="12F818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3B0407"/>
    <w:multiLevelType w:val="hybridMultilevel"/>
    <w:tmpl w:val="573E4CA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36067D"/>
    <w:multiLevelType w:val="hybridMultilevel"/>
    <w:tmpl w:val="0776B168"/>
    <w:lvl w:ilvl="0" w:tplc="66BA658A">
      <w:start w:val="1"/>
      <w:numFmt w:val="bullet"/>
      <w:pStyle w:val="Odrky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2"/>
        <w:szCs w:val="22"/>
      </w:rPr>
    </w:lvl>
    <w:lvl w:ilvl="1" w:tplc="B04825AA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2" w:tplc="365019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987C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7A6D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EC26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80FC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B437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A2B4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4935A9"/>
    <w:multiLevelType w:val="hybridMultilevel"/>
    <w:tmpl w:val="58D2D5E6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7B27F8"/>
    <w:multiLevelType w:val="hybridMultilevel"/>
    <w:tmpl w:val="601C9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C11299"/>
    <w:multiLevelType w:val="hybridMultilevel"/>
    <w:tmpl w:val="4D74B8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191F59"/>
    <w:multiLevelType w:val="hybridMultilevel"/>
    <w:tmpl w:val="1A8CC1C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5455EF"/>
    <w:multiLevelType w:val="hybridMultilevel"/>
    <w:tmpl w:val="D0DC359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AB5BF9"/>
    <w:multiLevelType w:val="hybridMultilevel"/>
    <w:tmpl w:val="448AD4C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4C6DD4"/>
    <w:multiLevelType w:val="hybridMultilevel"/>
    <w:tmpl w:val="7BCA9C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31"/>
  </w:num>
  <w:num w:numId="4">
    <w:abstractNumId w:val="12"/>
  </w:num>
  <w:num w:numId="5">
    <w:abstractNumId w:val="11"/>
  </w:num>
  <w:num w:numId="6">
    <w:abstractNumId w:val="30"/>
  </w:num>
  <w:num w:numId="7">
    <w:abstractNumId w:val="13"/>
  </w:num>
  <w:num w:numId="8">
    <w:abstractNumId w:val="36"/>
  </w:num>
  <w:num w:numId="9">
    <w:abstractNumId w:val="15"/>
  </w:num>
  <w:num w:numId="10">
    <w:abstractNumId w:val="32"/>
  </w:num>
  <w:num w:numId="11">
    <w:abstractNumId w:val="17"/>
  </w:num>
  <w:num w:numId="12">
    <w:abstractNumId w:val="26"/>
  </w:num>
  <w:num w:numId="13">
    <w:abstractNumId w:val="29"/>
  </w:num>
  <w:num w:numId="14">
    <w:abstractNumId w:val="23"/>
  </w:num>
  <w:num w:numId="15">
    <w:abstractNumId w:val="16"/>
  </w:num>
  <w:num w:numId="16">
    <w:abstractNumId w:val="18"/>
  </w:num>
  <w:num w:numId="17">
    <w:abstractNumId w:val="34"/>
  </w:num>
  <w:num w:numId="18">
    <w:abstractNumId w:val="21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27"/>
  </w:num>
  <w:num w:numId="30">
    <w:abstractNumId w:val="35"/>
  </w:num>
  <w:num w:numId="31">
    <w:abstractNumId w:val="22"/>
  </w:num>
  <w:num w:numId="32">
    <w:abstractNumId w:val="37"/>
  </w:num>
  <w:num w:numId="33">
    <w:abstractNumId w:val="33"/>
  </w:num>
  <w:num w:numId="34">
    <w:abstractNumId w:val="28"/>
  </w:num>
  <w:num w:numId="35">
    <w:abstractNumId w:val="25"/>
  </w:num>
  <w:num w:numId="36">
    <w:abstractNumId w:val="20"/>
  </w:num>
  <w:num w:numId="37">
    <w:abstractNumId w:val="19"/>
  </w:num>
  <w:num w:numId="38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efaultTableStyle w:val="Tabulka4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AF6"/>
    <w:rsid w:val="00000506"/>
    <w:rsid w:val="000012DC"/>
    <w:rsid w:val="00002A80"/>
    <w:rsid w:val="0000627D"/>
    <w:rsid w:val="000105F6"/>
    <w:rsid w:val="00011587"/>
    <w:rsid w:val="000170DE"/>
    <w:rsid w:val="00020C31"/>
    <w:rsid w:val="00023562"/>
    <w:rsid w:val="00027596"/>
    <w:rsid w:val="00040920"/>
    <w:rsid w:val="00040E3E"/>
    <w:rsid w:val="0004243F"/>
    <w:rsid w:val="000429C5"/>
    <w:rsid w:val="000462CC"/>
    <w:rsid w:val="00047492"/>
    <w:rsid w:val="00047F05"/>
    <w:rsid w:val="000516C9"/>
    <w:rsid w:val="00054CA0"/>
    <w:rsid w:val="00055D52"/>
    <w:rsid w:val="00060989"/>
    <w:rsid w:val="00063CF6"/>
    <w:rsid w:val="00067C29"/>
    <w:rsid w:val="0007016A"/>
    <w:rsid w:val="00070C2C"/>
    <w:rsid w:val="00071951"/>
    <w:rsid w:val="00073749"/>
    <w:rsid w:val="00074734"/>
    <w:rsid w:val="00075F98"/>
    <w:rsid w:val="00080978"/>
    <w:rsid w:val="00081FFB"/>
    <w:rsid w:val="00083D4E"/>
    <w:rsid w:val="000840BF"/>
    <w:rsid w:val="00086944"/>
    <w:rsid w:val="00090AC2"/>
    <w:rsid w:val="00093149"/>
    <w:rsid w:val="00097994"/>
    <w:rsid w:val="000A23C1"/>
    <w:rsid w:val="000A26E7"/>
    <w:rsid w:val="000A3124"/>
    <w:rsid w:val="000A50EC"/>
    <w:rsid w:val="000B2D85"/>
    <w:rsid w:val="000B40B9"/>
    <w:rsid w:val="000B5A8D"/>
    <w:rsid w:val="000B5C9E"/>
    <w:rsid w:val="000C01EF"/>
    <w:rsid w:val="000C0FEC"/>
    <w:rsid w:val="000C1A33"/>
    <w:rsid w:val="000C4E14"/>
    <w:rsid w:val="000C56F2"/>
    <w:rsid w:val="000D0C06"/>
    <w:rsid w:val="000D1250"/>
    <w:rsid w:val="000D5809"/>
    <w:rsid w:val="000E221B"/>
    <w:rsid w:val="000E3C5E"/>
    <w:rsid w:val="000F04BA"/>
    <w:rsid w:val="000F1F5A"/>
    <w:rsid w:val="000F44B6"/>
    <w:rsid w:val="000F48D7"/>
    <w:rsid w:val="000F764E"/>
    <w:rsid w:val="000F78F0"/>
    <w:rsid w:val="000F7B42"/>
    <w:rsid w:val="001006BD"/>
    <w:rsid w:val="001006C9"/>
    <w:rsid w:val="00104558"/>
    <w:rsid w:val="0010774C"/>
    <w:rsid w:val="0011039F"/>
    <w:rsid w:val="00110496"/>
    <w:rsid w:val="00112421"/>
    <w:rsid w:val="00117CFB"/>
    <w:rsid w:val="00125CEF"/>
    <w:rsid w:val="001273B8"/>
    <w:rsid w:val="001301AC"/>
    <w:rsid w:val="00131339"/>
    <w:rsid w:val="001349D4"/>
    <w:rsid w:val="00136A61"/>
    <w:rsid w:val="00137251"/>
    <w:rsid w:val="001374EF"/>
    <w:rsid w:val="00143BD9"/>
    <w:rsid w:val="001443FC"/>
    <w:rsid w:val="00146828"/>
    <w:rsid w:val="00147806"/>
    <w:rsid w:val="00150E69"/>
    <w:rsid w:val="0015247E"/>
    <w:rsid w:val="00153C9C"/>
    <w:rsid w:val="00165C77"/>
    <w:rsid w:val="00166B2A"/>
    <w:rsid w:val="00182383"/>
    <w:rsid w:val="00185030"/>
    <w:rsid w:val="001874F5"/>
    <w:rsid w:val="00190CD9"/>
    <w:rsid w:val="00193421"/>
    <w:rsid w:val="001967C8"/>
    <w:rsid w:val="001A2252"/>
    <w:rsid w:val="001A23F2"/>
    <w:rsid w:val="001A262D"/>
    <w:rsid w:val="001A48A2"/>
    <w:rsid w:val="001A5F75"/>
    <w:rsid w:val="001B0388"/>
    <w:rsid w:val="001B3FE8"/>
    <w:rsid w:val="001C0737"/>
    <w:rsid w:val="001C2E3C"/>
    <w:rsid w:val="001D5F66"/>
    <w:rsid w:val="001E4366"/>
    <w:rsid w:val="001F0E2D"/>
    <w:rsid w:val="001F6ED9"/>
    <w:rsid w:val="00200615"/>
    <w:rsid w:val="00201946"/>
    <w:rsid w:val="0020302C"/>
    <w:rsid w:val="00204892"/>
    <w:rsid w:val="00205702"/>
    <w:rsid w:val="00211B31"/>
    <w:rsid w:val="00217F3E"/>
    <w:rsid w:val="0023051A"/>
    <w:rsid w:val="002308B6"/>
    <w:rsid w:val="00230F57"/>
    <w:rsid w:val="0023454A"/>
    <w:rsid w:val="00235D74"/>
    <w:rsid w:val="00237AF6"/>
    <w:rsid w:val="00241E9C"/>
    <w:rsid w:val="0024481B"/>
    <w:rsid w:val="00256E30"/>
    <w:rsid w:val="00261AE7"/>
    <w:rsid w:val="00266627"/>
    <w:rsid w:val="002719A9"/>
    <w:rsid w:val="002719C9"/>
    <w:rsid w:val="00274347"/>
    <w:rsid w:val="00274BCB"/>
    <w:rsid w:val="0027645A"/>
    <w:rsid w:val="00276864"/>
    <w:rsid w:val="00276FA1"/>
    <w:rsid w:val="00281CC2"/>
    <w:rsid w:val="00285E19"/>
    <w:rsid w:val="00286547"/>
    <w:rsid w:val="0029326D"/>
    <w:rsid w:val="00297E2E"/>
    <w:rsid w:val="002A17B8"/>
    <w:rsid w:val="002A3A08"/>
    <w:rsid w:val="002A55DE"/>
    <w:rsid w:val="002A6D4D"/>
    <w:rsid w:val="002B1352"/>
    <w:rsid w:val="002B60F5"/>
    <w:rsid w:val="002B6C00"/>
    <w:rsid w:val="002B6EB3"/>
    <w:rsid w:val="002C0DE9"/>
    <w:rsid w:val="002C1A78"/>
    <w:rsid w:val="002C57F8"/>
    <w:rsid w:val="002D1435"/>
    <w:rsid w:val="002D2F61"/>
    <w:rsid w:val="002D3E5F"/>
    <w:rsid w:val="002E1769"/>
    <w:rsid w:val="002E1811"/>
    <w:rsid w:val="002E1BD4"/>
    <w:rsid w:val="002E272B"/>
    <w:rsid w:val="002E7DE0"/>
    <w:rsid w:val="002F4694"/>
    <w:rsid w:val="002F5233"/>
    <w:rsid w:val="002F588E"/>
    <w:rsid w:val="00300636"/>
    <w:rsid w:val="00302783"/>
    <w:rsid w:val="00304D56"/>
    <w:rsid w:val="0030636C"/>
    <w:rsid w:val="003106DD"/>
    <w:rsid w:val="003108F3"/>
    <w:rsid w:val="00314337"/>
    <w:rsid w:val="00316454"/>
    <w:rsid w:val="0031653F"/>
    <w:rsid w:val="00317E1A"/>
    <w:rsid w:val="00323D3E"/>
    <w:rsid w:val="003247CD"/>
    <w:rsid w:val="003278E7"/>
    <w:rsid w:val="0033265E"/>
    <w:rsid w:val="00343D95"/>
    <w:rsid w:val="00346C34"/>
    <w:rsid w:val="003572F0"/>
    <w:rsid w:val="003635AF"/>
    <w:rsid w:val="00365470"/>
    <w:rsid w:val="0036558D"/>
    <w:rsid w:val="00371276"/>
    <w:rsid w:val="00373809"/>
    <w:rsid w:val="003763F6"/>
    <w:rsid w:val="00382DA7"/>
    <w:rsid w:val="003832B2"/>
    <w:rsid w:val="003833E1"/>
    <w:rsid w:val="00385A1A"/>
    <w:rsid w:val="003879C3"/>
    <w:rsid w:val="00387A52"/>
    <w:rsid w:val="00387F1E"/>
    <w:rsid w:val="003906A2"/>
    <w:rsid w:val="00393396"/>
    <w:rsid w:val="003A3120"/>
    <w:rsid w:val="003A6C46"/>
    <w:rsid w:val="003A7122"/>
    <w:rsid w:val="003A74F3"/>
    <w:rsid w:val="003C5C0F"/>
    <w:rsid w:val="003D4F5D"/>
    <w:rsid w:val="003D5DBE"/>
    <w:rsid w:val="003D796A"/>
    <w:rsid w:val="003E1762"/>
    <w:rsid w:val="003E4B1C"/>
    <w:rsid w:val="003F1183"/>
    <w:rsid w:val="003F4470"/>
    <w:rsid w:val="003F44AF"/>
    <w:rsid w:val="00413FDE"/>
    <w:rsid w:val="00416CD2"/>
    <w:rsid w:val="004216A5"/>
    <w:rsid w:val="004255D5"/>
    <w:rsid w:val="00425B80"/>
    <w:rsid w:val="004303A5"/>
    <w:rsid w:val="00433B80"/>
    <w:rsid w:val="0044049F"/>
    <w:rsid w:val="00442AA6"/>
    <w:rsid w:val="00446370"/>
    <w:rsid w:val="004503FE"/>
    <w:rsid w:val="00450DEC"/>
    <w:rsid w:val="00452E17"/>
    <w:rsid w:val="004608A3"/>
    <w:rsid w:val="00460A94"/>
    <w:rsid w:val="00461354"/>
    <w:rsid w:val="0046345A"/>
    <w:rsid w:val="004638FD"/>
    <w:rsid w:val="00466C97"/>
    <w:rsid w:val="0046780C"/>
    <w:rsid w:val="0047580F"/>
    <w:rsid w:val="00477CD2"/>
    <w:rsid w:val="00482D6A"/>
    <w:rsid w:val="00483F46"/>
    <w:rsid w:val="0048401F"/>
    <w:rsid w:val="004840A9"/>
    <w:rsid w:val="004907AE"/>
    <w:rsid w:val="004911C3"/>
    <w:rsid w:val="004931D9"/>
    <w:rsid w:val="0049546F"/>
    <w:rsid w:val="004962AA"/>
    <w:rsid w:val="00497113"/>
    <w:rsid w:val="004A3CF6"/>
    <w:rsid w:val="004B47FA"/>
    <w:rsid w:val="004C31CD"/>
    <w:rsid w:val="004C406E"/>
    <w:rsid w:val="004C43B7"/>
    <w:rsid w:val="004C63C3"/>
    <w:rsid w:val="004C7EFD"/>
    <w:rsid w:val="004D2684"/>
    <w:rsid w:val="004D66E6"/>
    <w:rsid w:val="004E4B53"/>
    <w:rsid w:val="004E7748"/>
    <w:rsid w:val="004F06CF"/>
    <w:rsid w:val="004F1054"/>
    <w:rsid w:val="004F1074"/>
    <w:rsid w:val="004F11DF"/>
    <w:rsid w:val="004F1227"/>
    <w:rsid w:val="004F1E6C"/>
    <w:rsid w:val="004F2F07"/>
    <w:rsid w:val="00501F80"/>
    <w:rsid w:val="005050E3"/>
    <w:rsid w:val="005061AA"/>
    <w:rsid w:val="00506CE3"/>
    <w:rsid w:val="00514E47"/>
    <w:rsid w:val="00517415"/>
    <w:rsid w:val="00524643"/>
    <w:rsid w:val="00524A57"/>
    <w:rsid w:val="00525CF8"/>
    <w:rsid w:val="00526D6C"/>
    <w:rsid w:val="00537A58"/>
    <w:rsid w:val="0054103E"/>
    <w:rsid w:val="005433DF"/>
    <w:rsid w:val="00543874"/>
    <w:rsid w:val="00544B05"/>
    <w:rsid w:val="005456C5"/>
    <w:rsid w:val="0054794E"/>
    <w:rsid w:val="00556191"/>
    <w:rsid w:val="00556CC0"/>
    <w:rsid w:val="00557876"/>
    <w:rsid w:val="00561AAE"/>
    <w:rsid w:val="00562B14"/>
    <w:rsid w:val="00563B8E"/>
    <w:rsid w:val="0057024E"/>
    <w:rsid w:val="00571E43"/>
    <w:rsid w:val="00574B75"/>
    <w:rsid w:val="00576639"/>
    <w:rsid w:val="0058248E"/>
    <w:rsid w:val="005911C1"/>
    <w:rsid w:val="00594833"/>
    <w:rsid w:val="00594F3A"/>
    <w:rsid w:val="00595ED5"/>
    <w:rsid w:val="00595F34"/>
    <w:rsid w:val="005A70C1"/>
    <w:rsid w:val="005B0FA2"/>
    <w:rsid w:val="005B580F"/>
    <w:rsid w:val="005B5EF5"/>
    <w:rsid w:val="005C26D5"/>
    <w:rsid w:val="005C3498"/>
    <w:rsid w:val="005D2D24"/>
    <w:rsid w:val="005E232B"/>
    <w:rsid w:val="005E407A"/>
    <w:rsid w:val="005E5326"/>
    <w:rsid w:val="005E61EB"/>
    <w:rsid w:val="005E6812"/>
    <w:rsid w:val="005F0284"/>
    <w:rsid w:val="005F555F"/>
    <w:rsid w:val="005F68D7"/>
    <w:rsid w:val="00605D0F"/>
    <w:rsid w:val="00605DD7"/>
    <w:rsid w:val="00607C54"/>
    <w:rsid w:val="00612E93"/>
    <w:rsid w:val="00615919"/>
    <w:rsid w:val="006163D3"/>
    <w:rsid w:val="00616AF3"/>
    <w:rsid w:val="00616C52"/>
    <w:rsid w:val="00620638"/>
    <w:rsid w:val="00621912"/>
    <w:rsid w:val="006220F2"/>
    <w:rsid w:val="00632D9B"/>
    <w:rsid w:val="0063362D"/>
    <w:rsid w:val="00633E2D"/>
    <w:rsid w:val="006355BC"/>
    <w:rsid w:val="0063647E"/>
    <w:rsid w:val="00640FA6"/>
    <w:rsid w:val="006424C4"/>
    <w:rsid w:val="006436C0"/>
    <w:rsid w:val="00643A36"/>
    <w:rsid w:val="00644505"/>
    <w:rsid w:val="00645B4F"/>
    <w:rsid w:val="0065352F"/>
    <w:rsid w:val="00656447"/>
    <w:rsid w:val="00657CEA"/>
    <w:rsid w:val="0066149B"/>
    <w:rsid w:val="00663671"/>
    <w:rsid w:val="00663EE8"/>
    <w:rsid w:val="00671C7F"/>
    <w:rsid w:val="006727C8"/>
    <w:rsid w:val="00680392"/>
    <w:rsid w:val="00684976"/>
    <w:rsid w:val="006867AE"/>
    <w:rsid w:val="00686A2E"/>
    <w:rsid w:val="0069192B"/>
    <w:rsid w:val="00691F4F"/>
    <w:rsid w:val="006944BE"/>
    <w:rsid w:val="00697BF5"/>
    <w:rsid w:val="006A0901"/>
    <w:rsid w:val="006A123D"/>
    <w:rsid w:val="006A714A"/>
    <w:rsid w:val="006A77DA"/>
    <w:rsid w:val="006B312C"/>
    <w:rsid w:val="006B3830"/>
    <w:rsid w:val="006B4E51"/>
    <w:rsid w:val="006B639B"/>
    <w:rsid w:val="006B75A1"/>
    <w:rsid w:val="006B7D0F"/>
    <w:rsid w:val="006C3D1E"/>
    <w:rsid w:val="006C5A37"/>
    <w:rsid w:val="006D227C"/>
    <w:rsid w:val="006D284F"/>
    <w:rsid w:val="006D2A05"/>
    <w:rsid w:val="006D69DD"/>
    <w:rsid w:val="006D71EF"/>
    <w:rsid w:val="006E23DB"/>
    <w:rsid w:val="006E253B"/>
    <w:rsid w:val="006F6125"/>
    <w:rsid w:val="006F6710"/>
    <w:rsid w:val="006F7B43"/>
    <w:rsid w:val="00705B69"/>
    <w:rsid w:val="00706594"/>
    <w:rsid w:val="00711EC5"/>
    <w:rsid w:val="007126EF"/>
    <w:rsid w:val="007161F2"/>
    <w:rsid w:val="00717889"/>
    <w:rsid w:val="00721D17"/>
    <w:rsid w:val="00722D0D"/>
    <w:rsid w:val="007272D5"/>
    <w:rsid w:val="00740F08"/>
    <w:rsid w:val="00745072"/>
    <w:rsid w:val="00752F99"/>
    <w:rsid w:val="007536D9"/>
    <w:rsid w:val="007539A5"/>
    <w:rsid w:val="007550BC"/>
    <w:rsid w:val="00755B5B"/>
    <w:rsid w:val="00755C72"/>
    <w:rsid w:val="00756EBF"/>
    <w:rsid w:val="00767F95"/>
    <w:rsid w:val="00770B4B"/>
    <w:rsid w:val="0077393B"/>
    <w:rsid w:val="00774708"/>
    <w:rsid w:val="007818A2"/>
    <w:rsid w:val="00793C67"/>
    <w:rsid w:val="00793D18"/>
    <w:rsid w:val="00796A0D"/>
    <w:rsid w:val="007A4D98"/>
    <w:rsid w:val="007A50D7"/>
    <w:rsid w:val="007A5BBF"/>
    <w:rsid w:val="007A76BA"/>
    <w:rsid w:val="007A79B5"/>
    <w:rsid w:val="007B0016"/>
    <w:rsid w:val="007B23ED"/>
    <w:rsid w:val="007B2B9A"/>
    <w:rsid w:val="007B3B9E"/>
    <w:rsid w:val="007B5A7B"/>
    <w:rsid w:val="007B7BD2"/>
    <w:rsid w:val="007C233C"/>
    <w:rsid w:val="007C3395"/>
    <w:rsid w:val="007D0312"/>
    <w:rsid w:val="007D1C9B"/>
    <w:rsid w:val="007D334E"/>
    <w:rsid w:val="007E20BA"/>
    <w:rsid w:val="007E3433"/>
    <w:rsid w:val="007E51D8"/>
    <w:rsid w:val="007E5A88"/>
    <w:rsid w:val="007F38C4"/>
    <w:rsid w:val="008017FF"/>
    <w:rsid w:val="00803D9E"/>
    <w:rsid w:val="00806AEF"/>
    <w:rsid w:val="008072B5"/>
    <w:rsid w:val="00817955"/>
    <w:rsid w:val="00821345"/>
    <w:rsid w:val="00822DAB"/>
    <w:rsid w:val="008240B8"/>
    <w:rsid w:val="00830D58"/>
    <w:rsid w:val="00833231"/>
    <w:rsid w:val="00834041"/>
    <w:rsid w:val="008340A9"/>
    <w:rsid w:val="00834F03"/>
    <w:rsid w:val="00835AC9"/>
    <w:rsid w:val="00843A02"/>
    <w:rsid w:val="00843D68"/>
    <w:rsid w:val="008441E5"/>
    <w:rsid w:val="008454EA"/>
    <w:rsid w:val="008473DC"/>
    <w:rsid w:val="00852619"/>
    <w:rsid w:val="00855FD9"/>
    <w:rsid w:val="008573CA"/>
    <w:rsid w:val="00860583"/>
    <w:rsid w:val="008616B2"/>
    <w:rsid w:val="008635A9"/>
    <w:rsid w:val="00863A57"/>
    <w:rsid w:val="0086465B"/>
    <w:rsid w:val="008700BC"/>
    <w:rsid w:val="00871FAF"/>
    <w:rsid w:val="00872B13"/>
    <w:rsid w:val="00875A18"/>
    <w:rsid w:val="0089173B"/>
    <w:rsid w:val="0089292B"/>
    <w:rsid w:val="008969A1"/>
    <w:rsid w:val="008A0379"/>
    <w:rsid w:val="008A0663"/>
    <w:rsid w:val="008A072B"/>
    <w:rsid w:val="008A1DF5"/>
    <w:rsid w:val="008A218F"/>
    <w:rsid w:val="008A3B73"/>
    <w:rsid w:val="008A51DF"/>
    <w:rsid w:val="008A5A0F"/>
    <w:rsid w:val="008A7ADA"/>
    <w:rsid w:val="008B0345"/>
    <w:rsid w:val="008B0A3F"/>
    <w:rsid w:val="008B11A4"/>
    <w:rsid w:val="008B3CB6"/>
    <w:rsid w:val="008B50AB"/>
    <w:rsid w:val="008B7F2A"/>
    <w:rsid w:val="008C43E1"/>
    <w:rsid w:val="008C66DB"/>
    <w:rsid w:val="008C72FF"/>
    <w:rsid w:val="008C7757"/>
    <w:rsid w:val="008D09B2"/>
    <w:rsid w:val="008D3F0F"/>
    <w:rsid w:val="008E0298"/>
    <w:rsid w:val="008E374A"/>
    <w:rsid w:val="008E3C82"/>
    <w:rsid w:val="008E50F4"/>
    <w:rsid w:val="008E74A9"/>
    <w:rsid w:val="008F0171"/>
    <w:rsid w:val="008F5592"/>
    <w:rsid w:val="008F7380"/>
    <w:rsid w:val="0090010C"/>
    <w:rsid w:val="00910508"/>
    <w:rsid w:val="00911C54"/>
    <w:rsid w:val="00914E57"/>
    <w:rsid w:val="009156DF"/>
    <w:rsid w:val="00915890"/>
    <w:rsid w:val="00915BE1"/>
    <w:rsid w:val="00915E7A"/>
    <w:rsid w:val="00916C3B"/>
    <w:rsid w:val="00917796"/>
    <w:rsid w:val="0092400E"/>
    <w:rsid w:val="009271B7"/>
    <w:rsid w:val="00927DB4"/>
    <w:rsid w:val="00941903"/>
    <w:rsid w:val="009429A0"/>
    <w:rsid w:val="0094598B"/>
    <w:rsid w:val="00947109"/>
    <w:rsid w:val="00950A18"/>
    <w:rsid w:val="009512ED"/>
    <w:rsid w:val="00954D8D"/>
    <w:rsid w:val="00955D78"/>
    <w:rsid w:val="00956473"/>
    <w:rsid w:val="00956984"/>
    <w:rsid w:val="00960007"/>
    <w:rsid w:val="009608E0"/>
    <w:rsid w:val="00960EF6"/>
    <w:rsid w:val="00961747"/>
    <w:rsid w:val="0096184C"/>
    <w:rsid w:val="00966EF9"/>
    <w:rsid w:val="0096763F"/>
    <w:rsid w:val="00970951"/>
    <w:rsid w:val="00971D21"/>
    <w:rsid w:val="00981EDC"/>
    <w:rsid w:val="00984FF1"/>
    <w:rsid w:val="009919C9"/>
    <w:rsid w:val="009A11E9"/>
    <w:rsid w:val="009A18D2"/>
    <w:rsid w:val="009A348A"/>
    <w:rsid w:val="009A79B6"/>
    <w:rsid w:val="009B2367"/>
    <w:rsid w:val="009B2A94"/>
    <w:rsid w:val="009B3EC7"/>
    <w:rsid w:val="009B5B79"/>
    <w:rsid w:val="009C2E47"/>
    <w:rsid w:val="009D2FD7"/>
    <w:rsid w:val="009D4C3D"/>
    <w:rsid w:val="009E2DB3"/>
    <w:rsid w:val="009E33DF"/>
    <w:rsid w:val="009E3509"/>
    <w:rsid w:val="009E40ED"/>
    <w:rsid w:val="009E6A02"/>
    <w:rsid w:val="009F17F0"/>
    <w:rsid w:val="00A00489"/>
    <w:rsid w:val="00A006D2"/>
    <w:rsid w:val="00A00DA8"/>
    <w:rsid w:val="00A011DF"/>
    <w:rsid w:val="00A04CF0"/>
    <w:rsid w:val="00A10CA6"/>
    <w:rsid w:val="00A1237F"/>
    <w:rsid w:val="00A17123"/>
    <w:rsid w:val="00A22877"/>
    <w:rsid w:val="00A26CE7"/>
    <w:rsid w:val="00A27B18"/>
    <w:rsid w:val="00A306E2"/>
    <w:rsid w:val="00A334DC"/>
    <w:rsid w:val="00A33E37"/>
    <w:rsid w:val="00A425C9"/>
    <w:rsid w:val="00A434C2"/>
    <w:rsid w:val="00A44865"/>
    <w:rsid w:val="00A46D3D"/>
    <w:rsid w:val="00A50DE6"/>
    <w:rsid w:val="00A510A2"/>
    <w:rsid w:val="00A6117C"/>
    <w:rsid w:val="00A6251B"/>
    <w:rsid w:val="00A64925"/>
    <w:rsid w:val="00A64D5D"/>
    <w:rsid w:val="00A65E06"/>
    <w:rsid w:val="00A71665"/>
    <w:rsid w:val="00A754A2"/>
    <w:rsid w:val="00A802FE"/>
    <w:rsid w:val="00A8610F"/>
    <w:rsid w:val="00A86625"/>
    <w:rsid w:val="00A867F6"/>
    <w:rsid w:val="00A8763E"/>
    <w:rsid w:val="00A94750"/>
    <w:rsid w:val="00A95AD3"/>
    <w:rsid w:val="00AA23E1"/>
    <w:rsid w:val="00AC005A"/>
    <w:rsid w:val="00AC26FF"/>
    <w:rsid w:val="00AC2755"/>
    <w:rsid w:val="00AC3663"/>
    <w:rsid w:val="00AD162B"/>
    <w:rsid w:val="00AD6C2B"/>
    <w:rsid w:val="00AE3ED0"/>
    <w:rsid w:val="00AE4A27"/>
    <w:rsid w:val="00AE7264"/>
    <w:rsid w:val="00AF4ED3"/>
    <w:rsid w:val="00AF51C0"/>
    <w:rsid w:val="00B00B5A"/>
    <w:rsid w:val="00B0501C"/>
    <w:rsid w:val="00B07131"/>
    <w:rsid w:val="00B13710"/>
    <w:rsid w:val="00B244C6"/>
    <w:rsid w:val="00B249E0"/>
    <w:rsid w:val="00B33BEB"/>
    <w:rsid w:val="00B34354"/>
    <w:rsid w:val="00B356C9"/>
    <w:rsid w:val="00B3651F"/>
    <w:rsid w:val="00B40C0C"/>
    <w:rsid w:val="00B46A7C"/>
    <w:rsid w:val="00B5133C"/>
    <w:rsid w:val="00B516EE"/>
    <w:rsid w:val="00B53663"/>
    <w:rsid w:val="00B542A7"/>
    <w:rsid w:val="00B67DED"/>
    <w:rsid w:val="00B748E5"/>
    <w:rsid w:val="00B80956"/>
    <w:rsid w:val="00B83BFD"/>
    <w:rsid w:val="00B84300"/>
    <w:rsid w:val="00B86C5D"/>
    <w:rsid w:val="00B93362"/>
    <w:rsid w:val="00B93451"/>
    <w:rsid w:val="00BA6439"/>
    <w:rsid w:val="00BA6916"/>
    <w:rsid w:val="00BB2760"/>
    <w:rsid w:val="00BB36EE"/>
    <w:rsid w:val="00BB399C"/>
    <w:rsid w:val="00BB498D"/>
    <w:rsid w:val="00BB7220"/>
    <w:rsid w:val="00BC0702"/>
    <w:rsid w:val="00BC1E57"/>
    <w:rsid w:val="00BC2A38"/>
    <w:rsid w:val="00BC2FE4"/>
    <w:rsid w:val="00BC4CD5"/>
    <w:rsid w:val="00BD165C"/>
    <w:rsid w:val="00BD2562"/>
    <w:rsid w:val="00BD4701"/>
    <w:rsid w:val="00BE1EAE"/>
    <w:rsid w:val="00BE627B"/>
    <w:rsid w:val="00BF4D16"/>
    <w:rsid w:val="00BF4EB6"/>
    <w:rsid w:val="00BF709D"/>
    <w:rsid w:val="00C026AC"/>
    <w:rsid w:val="00C026CD"/>
    <w:rsid w:val="00C0355F"/>
    <w:rsid w:val="00C040D2"/>
    <w:rsid w:val="00C06DC5"/>
    <w:rsid w:val="00C157DD"/>
    <w:rsid w:val="00C2160E"/>
    <w:rsid w:val="00C21988"/>
    <w:rsid w:val="00C25CA3"/>
    <w:rsid w:val="00C26520"/>
    <w:rsid w:val="00C26F98"/>
    <w:rsid w:val="00C27068"/>
    <w:rsid w:val="00C30A02"/>
    <w:rsid w:val="00C33DAA"/>
    <w:rsid w:val="00C36464"/>
    <w:rsid w:val="00C37383"/>
    <w:rsid w:val="00C4048C"/>
    <w:rsid w:val="00C456EB"/>
    <w:rsid w:val="00C46DAD"/>
    <w:rsid w:val="00C51BF6"/>
    <w:rsid w:val="00C52F8A"/>
    <w:rsid w:val="00C5423C"/>
    <w:rsid w:val="00C57EDC"/>
    <w:rsid w:val="00C615DB"/>
    <w:rsid w:val="00C650CD"/>
    <w:rsid w:val="00C675DC"/>
    <w:rsid w:val="00C70A5B"/>
    <w:rsid w:val="00C75C2E"/>
    <w:rsid w:val="00C76363"/>
    <w:rsid w:val="00C772FA"/>
    <w:rsid w:val="00C807BC"/>
    <w:rsid w:val="00C86E52"/>
    <w:rsid w:val="00C92C65"/>
    <w:rsid w:val="00C96D6F"/>
    <w:rsid w:val="00CA2511"/>
    <w:rsid w:val="00CA375E"/>
    <w:rsid w:val="00CA6FF1"/>
    <w:rsid w:val="00CB5314"/>
    <w:rsid w:val="00CB7168"/>
    <w:rsid w:val="00CB7DB5"/>
    <w:rsid w:val="00CB7EAD"/>
    <w:rsid w:val="00CC63DE"/>
    <w:rsid w:val="00CD0F37"/>
    <w:rsid w:val="00CD50D3"/>
    <w:rsid w:val="00CD5A8F"/>
    <w:rsid w:val="00CD6FF0"/>
    <w:rsid w:val="00CD7E6E"/>
    <w:rsid w:val="00CE026B"/>
    <w:rsid w:val="00CE0F39"/>
    <w:rsid w:val="00CE0F5E"/>
    <w:rsid w:val="00CE208B"/>
    <w:rsid w:val="00CE24E1"/>
    <w:rsid w:val="00CE30D5"/>
    <w:rsid w:val="00CF17FA"/>
    <w:rsid w:val="00CF303C"/>
    <w:rsid w:val="00CF3280"/>
    <w:rsid w:val="00CF42BB"/>
    <w:rsid w:val="00CF4ABA"/>
    <w:rsid w:val="00D00FDB"/>
    <w:rsid w:val="00D102DD"/>
    <w:rsid w:val="00D121DD"/>
    <w:rsid w:val="00D15D10"/>
    <w:rsid w:val="00D2243C"/>
    <w:rsid w:val="00D23DD4"/>
    <w:rsid w:val="00D25E79"/>
    <w:rsid w:val="00D26758"/>
    <w:rsid w:val="00D27362"/>
    <w:rsid w:val="00D30998"/>
    <w:rsid w:val="00D30EDF"/>
    <w:rsid w:val="00D33655"/>
    <w:rsid w:val="00D3667D"/>
    <w:rsid w:val="00D4286F"/>
    <w:rsid w:val="00D43D0B"/>
    <w:rsid w:val="00D46EE6"/>
    <w:rsid w:val="00D47DB3"/>
    <w:rsid w:val="00D5144A"/>
    <w:rsid w:val="00D52694"/>
    <w:rsid w:val="00D63C2B"/>
    <w:rsid w:val="00D64421"/>
    <w:rsid w:val="00D65225"/>
    <w:rsid w:val="00D66889"/>
    <w:rsid w:val="00D67AC4"/>
    <w:rsid w:val="00D72E7F"/>
    <w:rsid w:val="00D73D6D"/>
    <w:rsid w:val="00D74922"/>
    <w:rsid w:val="00D752A7"/>
    <w:rsid w:val="00D76670"/>
    <w:rsid w:val="00D82AC2"/>
    <w:rsid w:val="00D83BE6"/>
    <w:rsid w:val="00D87EE4"/>
    <w:rsid w:val="00D90300"/>
    <w:rsid w:val="00D95433"/>
    <w:rsid w:val="00DA1A58"/>
    <w:rsid w:val="00DA2E45"/>
    <w:rsid w:val="00DA3610"/>
    <w:rsid w:val="00DB1446"/>
    <w:rsid w:val="00DB2821"/>
    <w:rsid w:val="00DC01E2"/>
    <w:rsid w:val="00DC624E"/>
    <w:rsid w:val="00DC7EC2"/>
    <w:rsid w:val="00DD02EB"/>
    <w:rsid w:val="00DD205B"/>
    <w:rsid w:val="00DD3C21"/>
    <w:rsid w:val="00DD734C"/>
    <w:rsid w:val="00DD7C76"/>
    <w:rsid w:val="00DF2A19"/>
    <w:rsid w:val="00DF30C1"/>
    <w:rsid w:val="00DF7857"/>
    <w:rsid w:val="00E04A27"/>
    <w:rsid w:val="00E10966"/>
    <w:rsid w:val="00E11149"/>
    <w:rsid w:val="00E13A9B"/>
    <w:rsid w:val="00E13D53"/>
    <w:rsid w:val="00E15E9F"/>
    <w:rsid w:val="00E163ED"/>
    <w:rsid w:val="00E16B41"/>
    <w:rsid w:val="00E2371D"/>
    <w:rsid w:val="00E2531F"/>
    <w:rsid w:val="00E319B1"/>
    <w:rsid w:val="00E416D0"/>
    <w:rsid w:val="00E45A7E"/>
    <w:rsid w:val="00E46FED"/>
    <w:rsid w:val="00E470FC"/>
    <w:rsid w:val="00E5325C"/>
    <w:rsid w:val="00E53D6A"/>
    <w:rsid w:val="00E665C0"/>
    <w:rsid w:val="00E670B4"/>
    <w:rsid w:val="00E71209"/>
    <w:rsid w:val="00E769C1"/>
    <w:rsid w:val="00E80A5E"/>
    <w:rsid w:val="00E8200F"/>
    <w:rsid w:val="00E8390C"/>
    <w:rsid w:val="00E92AC2"/>
    <w:rsid w:val="00E93184"/>
    <w:rsid w:val="00E94CEE"/>
    <w:rsid w:val="00E97B5C"/>
    <w:rsid w:val="00EA0ECD"/>
    <w:rsid w:val="00EA464D"/>
    <w:rsid w:val="00EA5F9E"/>
    <w:rsid w:val="00EB3093"/>
    <w:rsid w:val="00EB56D3"/>
    <w:rsid w:val="00EB773B"/>
    <w:rsid w:val="00EC075F"/>
    <w:rsid w:val="00EC0EBF"/>
    <w:rsid w:val="00ED2009"/>
    <w:rsid w:val="00ED7730"/>
    <w:rsid w:val="00EE3AC2"/>
    <w:rsid w:val="00EE4EFA"/>
    <w:rsid w:val="00EF5344"/>
    <w:rsid w:val="00EF6614"/>
    <w:rsid w:val="00F01178"/>
    <w:rsid w:val="00F07151"/>
    <w:rsid w:val="00F10B71"/>
    <w:rsid w:val="00F1409F"/>
    <w:rsid w:val="00F14891"/>
    <w:rsid w:val="00F164DA"/>
    <w:rsid w:val="00F20CA3"/>
    <w:rsid w:val="00F21391"/>
    <w:rsid w:val="00F21C97"/>
    <w:rsid w:val="00F235C3"/>
    <w:rsid w:val="00F23703"/>
    <w:rsid w:val="00F26625"/>
    <w:rsid w:val="00F306E4"/>
    <w:rsid w:val="00F3493C"/>
    <w:rsid w:val="00F357AC"/>
    <w:rsid w:val="00F36CDA"/>
    <w:rsid w:val="00F4188A"/>
    <w:rsid w:val="00F43A46"/>
    <w:rsid w:val="00F47005"/>
    <w:rsid w:val="00F47FFA"/>
    <w:rsid w:val="00F50EF3"/>
    <w:rsid w:val="00F53AD2"/>
    <w:rsid w:val="00F53B05"/>
    <w:rsid w:val="00F53EF0"/>
    <w:rsid w:val="00F56188"/>
    <w:rsid w:val="00F63821"/>
    <w:rsid w:val="00F73F84"/>
    <w:rsid w:val="00F75376"/>
    <w:rsid w:val="00F82968"/>
    <w:rsid w:val="00F829FA"/>
    <w:rsid w:val="00F865EA"/>
    <w:rsid w:val="00F86FD9"/>
    <w:rsid w:val="00F90377"/>
    <w:rsid w:val="00F90549"/>
    <w:rsid w:val="00F962F3"/>
    <w:rsid w:val="00FA2CE7"/>
    <w:rsid w:val="00FA50DC"/>
    <w:rsid w:val="00FB3185"/>
    <w:rsid w:val="00FB5DE6"/>
    <w:rsid w:val="00FC0942"/>
    <w:rsid w:val="00FC368C"/>
    <w:rsid w:val="00FD0364"/>
    <w:rsid w:val="00FD12D6"/>
    <w:rsid w:val="00FD7D28"/>
    <w:rsid w:val="00FF0221"/>
    <w:rsid w:val="00FF0E82"/>
    <w:rsid w:val="00FF1921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egoe UI Semibold" w:eastAsiaTheme="minorEastAsia" w:hAnsi="Segoe UI Semibold" w:cs="Tahoma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17955"/>
    <w:pPr>
      <w:spacing w:before="120" w:after="120" w:line="240" w:lineRule="auto"/>
      <w:jc w:val="both"/>
    </w:pPr>
    <w:rPr>
      <w:rFonts w:asciiTheme="minorHAnsi" w:hAnsiTheme="minorHAnsi"/>
    </w:rPr>
  </w:style>
  <w:style w:type="paragraph" w:styleId="Nadpis1">
    <w:name w:val="heading 1"/>
    <w:aliases w:val="Nadpis kapitoly"/>
    <w:basedOn w:val="Normln"/>
    <w:next w:val="Normln"/>
    <w:link w:val="Nadpis1Char"/>
    <w:uiPriority w:val="9"/>
    <w:qFormat/>
    <w:rsid w:val="00817955"/>
    <w:pPr>
      <w:keepNext/>
      <w:keepLines/>
      <w:pageBreakBefore/>
      <w:numPr>
        <w:numId w:val="4"/>
      </w:numPr>
      <w:spacing w:before="360" w:after="240"/>
      <w:ind w:left="431" w:hanging="431"/>
      <w:jc w:val="left"/>
      <w:outlineLvl w:val="0"/>
    </w:pPr>
    <w:rPr>
      <w:rFonts w:ascii="Segoe UI Semibold" w:eastAsiaTheme="majorEastAsia" w:hAnsi="Segoe UI Semibold" w:cs="Segoe UI"/>
      <w:bCs/>
      <w:color w:val="093D93" w:themeColor="accent1"/>
      <w:sz w:val="32"/>
      <w:szCs w:val="28"/>
      <w:lang w:eastAsia="cs-CZ"/>
    </w:rPr>
  </w:style>
  <w:style w:type="paragraph" w:styleId="Nadpis2">
    <w:name w:val="heading 2"/>
    <w:basedOn w:val="47Podnadpisslovan"/>
    <w:next w:val="Normln"/>
    <w:link w:val="Nadpis2Char"/>
    <w:uiPriority w:val="9"/>
    <w:unhideWhenUsed/>
    <w:qFormat/>
    <w:rsid w:val="00817955"/>
    <w:pPr>
      <w:pageBreakBefore w:val="0"/>
      <w:numPr>
        <w:numId w:val="4"/>
      </w:numPr>
      <w:autoSpaceDE/>
      <w:autoSpaceDN/>
      <w:adjustRightInd/>
      <w:spacing w:before="240"/>
      <w:ind w:left="578" w:hanging="578"/>
      <w:jc w:val="both"/>
    </w:pPr>
    <w:rPr>
      <w:rFonts w:ascii="Segoe UI Semibold" w:hAnsi="Segoe UI Semibold" w:cs="Segoe UI"/>
      <w:color w:val="093D93" w:themeColor="accent1"/>
      <w:sz w:val="28"/>
      <w:szCs w:val="28"/>
    </w:rPr>
  </w:style>
  <w:style w:type="paragraph" w:styleId="Nadpis3">
    <w:name w:val="heading 3"/>
    <w:basedOn w:val="Nadpis4"/>
    <w:next w:val="Normln"/>
    <w:link w:val="Nadpis3Char"/>
    <w:uiPriority w:val="9"/>
    <w:unhideWhenUsed/>
    <w:qFormat/>
    <w:rsid w:val="00817955"/>
    <w:pPr>
      <w:pageBreakBefore w:val="0"/>
      <w:numPr>
        <w:ilvl w:val="2"/>
      </w:numPr>
      <w:outlineLvl w:val="2"/>
    </w:pPr>
  </w:style>
  <w:style w:type="paragraph" w:styleId="Nadpis4">
    <w:name w:val="heading 4"/>
    <w:basedOn w:val="47Podnadpis3"/>
    <w:next w:val="Normln"/>
    <w:link w:val="Nadpis4Char"/>
    <w:uiPriority w:val="9"/>
    <w:unhideWhenUsed/>
    <w:qFormat/>
    <w:rsid w:val="00B40C0C"/>
    <w:pPr>
      <w:numPr>
        <w:ilvl w:val="3"/>
        <w:numId w:val="4"/>
      </w:numPr>
    </w:pPr>
    <w:rPr>
      <w:rFonts w:ascii="Segoe UI Semibold" w:hAnsi="Segoe UI Semibold"/>
      <w:color w:val="093D93" w:themeColor="accent1"/>
      <w:sz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3906A2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041E49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906A2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41E49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906A2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906A2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093D93" w:themeColor="accent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906A2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47Nadpis">
    <w:name w:val="47 Nadpis"/>
    <w:basedOn w:val="Nadpis1"/>
    <w:link w:val="47NadpisChar"/>
    <w:rsid w:val="00BC0702"/>
    <w:pPr>
      <w:autoSpaceDE w:val="0"/>
      <w:autoSpaceDN w:val="0"/>
      <w:adjustRightInd w:val="0"/>
      <w:spacing w:before="120"/>
    </w:pPr>
    <w:rPr>
      <w:rFonts w:ascii="Arial" w:hAnsi="Arial" w:cs="Calibri-Bold"/>
      <w:bCs w:val="0"/>
      <w:color w:val="0070C0"/>
      <w:sz w:val="24"/>
      <w:szCs w:val="24"/>
    </w:rPr>
  </w:style>
  <w:style w:type="paragraph" w:customStyle="1" w:styleId="47Podnadpis">
    <w:name w:val="47 Podnadpis"/>
    <w:basedOn w:val="Normln"/>
    <w:link w:val="47PodnadpisChar"/>
    <w:rsid w:val="00304D56"/>
    <w:pPr>
      <w:autoSpaceDE w:val="0"/>
      <w:autoSpaceDN w:val="0"/>
      <w:adjustRightInd w:val="0"/>
    </w:pPr>
    <w:rPr>
      <w:rFonts w:cs="Calibri-Bold"/>
      <w:b/>
      <w:bCs/>
      <w:color w:val="002060"/>
      <w:sz w:val="22"/>
    </w:rPr>
  </w:style>
  <w:style w:type="character" w:customStyle="1" w:styleId="47NadpisChar">
    <w:name w:val="47 Nadpis Char"/>
    <w:basedOn w:val="Standardnpsmoodstavce"/>
    <w:link w:val="47Nadpis"/>
    <w:rsid w:val="00BC0702"/>
    <w:rPr>
      <w:rFonts w:ascii="Arial" w:eastAsiaTheme="majorEastAsia" w:hAnsi="Arial" w:cs="Calibri-Bold"/>
      <w:color w:val="0070C0"/>
      <w:sz w:val="24"/>
      <w:szCs w:val="24"/>
      <w:lang w:eastAsia="cs-CZ"/>
    </w:rPr>
  </w:style>
  <w:style w:type="paragraph" w:customStyle="1" w:styleId="47Nadpisslovan">
    <w:name w:val="47 Nadpis číslovaný"/>
    <w:basedOn w:val="47Nadpis"/>
    <w:link w:val="47NadpisslovanChar"/>
    <w:rsid w:val="003106DD"/>
    <w:pPr>
      <w:numPr>
        <w:numId w:val="0"/>
      </w:numPr>
    </w:pPr>
    <w:rPr>
      <w:rFonts w:cs="Arial"/>
      <w:color w:val="093D93" w:themeColor="accent1"/>
      <w:sz w:val="32"/>
    </w:rPr>
  </w:style>
  <w:style w:type="character" w:customStyle="1" w:styleId="47PodnadpisChar">
    <w:name w:val="47 Podnadpis Char"/>
    <w:basedOn w:val="Standardnpsmoodstavce"/>
    <w:link w:val="47Podnadpis"/>
    <w:rsid w:val="00304D56"/>
    <w:rPr>
      <w:rFonts w:ascii="Arial" w:hAnsi="Arial" w:cs="Calibri-Bold"/>
      <w:b/>
      <w:bCs/>
      <w:color w:val="002060"/>
    </w:rPr>
  </w:style>
  <w:style w:type="paragraph" w:customStyle="1" w:styleId="47Podnadpisslovan">
    <w:name w:val="47 Podnadpis číslovaný"/>
    <w:basedOn w:val="47Nadpisslovan"/>
    <w:link w:val="47PodnadpisslovanChar"/>
    <w:rsid w:val="00BA6916"/>
    <w:pPr>
      <w:numPr>
        <w:ilvl w:val="1"/>
      </w:numPr>
      <w:spacing w:after="120"/>
      <w:ind w:left="431" w:hanging="431"/>
      <w:outlineLvl w:val="1"/>
    </w:pPr>
    <w:rPr>
      <w:color w:val="002060"/>
      <w:sz w:val="22"/>
      <w:szCs w:val="22"/>
    </w:rPr>
  </w:style>
  <w:style w:type="character" w:customStyle="1" w:styleId="47NadpisslovanChar">
    <w:name w:val="47 Nadpis číslovaný Char"/>
    <w:basedOn w:val="47NadpisChar"/>
    <w:link w:val="47Nadpisslovan"/>
    <w:rsid w:val="003106DD"/>
    <w:rPr>
      <w:rFonts w:ascii="Arial" w:eastAsiaTheme="majorEastAsia" w:hAnsi="Arial" w:cs="Arial"/>
      <w:b w:val="0"/>
      <w:color w:val="093D93" w:themeColor="accent1"/>
      <w:sz w:val="32"/>
      <w:szCs w:val="24"/>
      <w:lang w:eastAsia="cs-CZ"/>
    </w:rPr>
  </w:style>
  <w:style w:type="paragraph" w:customStyle="1" w:styleId="47Podnadpis2slovan">
    <w:name w:val="47 Podnadpis 2 číslovaný"/>
    <w:basedOn w:val="47Podnadpisslovan"/>
    <w:link w:val="47Podnadpis2slovanChar"/>
    <w:rsid w:val="000B5C9E"/>
    <w:pPr>
      <w:numPr>
        <w:ilvl w:val="2"/>
      </w:numPr>
      <w:ind w:left="505" w:hanging="505"/>
      <w:outlineLvl w:val="2"/>
    </w:pPr>
    <w:rPr>
      <w:color w:val="auto"/>
    </w:rPr>
  </w:style>
  <w:style w:type="character" w:customStyle="1" w:styleId="47PodnadpisslovanChar">
    <w:name w:val="47 Podnadpis číslovaný Char"/>
    <w:basedOn w:val="47NadpisslovanChar"/>
    <w:link w:val="47Podnadpisslovan"/>
    <w:rsid w:val="00BA6916"/>
    <w:rPr>
      <w:rFonts w:ascii="Arial" w:eastAsiaTheme="majorEastAsia" w:hAnsi="Arial" w:cs="Arial"/>
      <w:b w:val="0"/>
      <w:color w:val="002060"/>
      <w:sz w:val="24"/>
      <w:szCs w:val="24"/>
      <w:lang w:eastAsia="cs-CZ"/>
    </w:rPr>
  </w:style>
  <w:style w:type="paragraph" w:styleId="Odstavecseseznamem">
    <w:name w:val="List Paragraph"/>
    <w:aliases w:val="Odstavec cíl se seznamem,Odstavec se seznamem1"/>
    <w:basedOn w:val="Normln"/>
    <w:link w:val="OdstavecseseznamemChar"/>
    <w:uiPriority w:val="34"/>
    <w:qFormat/>
    <w:rsid w:val="00817955"/>
    <w:pPr>
      <w:ind w:left="720"/>
    </w:pPr>
  </w:style>
  <w:style w:type="character" w:customStyle="1" w:styleId="47Podnadpis2slovanChar">
    <w:name w:val="47 Podnadpis 2 číslovaný Char"/>
    <w:basedOn w:val="47PodnadpisslovanChar"/>
    <w:link w:val="47Podnadpis2slovan"/>
    <w:rsid w:val="000B5C9E"/>
    <w:rPr>
      <w:rFonts w:ascii="Arial" w:eastAsiaTheme="majorEastAsia" w:hAnsi="Arial" w:cs="Arial"/>
      <w:b w:val="0"/>
      <w:color w:val="002060"/>
      <w:sz w:val="24"/>
      <w:szCs w:val="24"/>
      <w:lang w:eastAsia="cs-CZ"/>
    </w:rPr>
  </w:style>
  <w:style w:type="paragraph" w:customStyle="1" w:styleId="47Textvbuletkch">
    <w:name w:val="47 Text v buletkách"/>
    <w:basedOn w:val="Odstavecseseznamem"/>
    <w:link w:val="47TextvbuletkchChar"/>
    <w:rsid w:val="00F82968"/>
    <w:pPr>
      <w:numPr>
        <w:numId w:val="2"/>
      </w:numPr>
      <w:ind w:hanging="357"/>
    </w:pPr>
  </w:style>
  <w:style w:type="paragraph" w:customStyle="1" w:styleId="47Textvbuletkch2">
    <w:name w:val="47 Text v buletkách 2"/>
    <w:basedOn w:val="47Textvbuletkch"/>
    <w:link w:val="47Textvbuletkch2Char"/>
    <w:rsid w:val="00F82968"/>
    <w:pPr>
      <w:numPr>
        <w:ilvl w:val="1"/>
      </w:numPr>
    </w:pPr>
  </w:style>
  <w:style w:type="character" w:customStyle="1" w:styleId="OdstavecseseznamemChar">
    <w:name w:val="Odstavec se seznamem Char"/>
    <w:aliases w:val="Odstavec cíl se seznamem Char,Odstavec se seznamem1 Char"/>
    <w:basedOn w:val="Standardnpsmoodstavce"/>
    <w:link w:val="Odstavecseseznamem"/>
    <w:uiPriority w:val="34"/>
    <w:rsid w:val="00817955"/>
    <w:rPr>
      <w:rFonts w:asciiTheme="minorHAnsi" w:hAnsiTheme="minorHAnsi"/>
    </w:rPr>
  </w:style>
  <w:style w:type="character" w:customStyle="1" w:styleId="47TextvbuletkchChar">
    <w:name w:val="47 Text v buletkách Char"/>
    <w:basedOn w:val="OdstavecseseznamemChar"/>
    <w:link w:val="47Textvbuletkch"/>
    <w:rsid w:val="00F82968"/>
    <w:rPr>
      <w:rFonts w:asciiTheme="minorHAnsi" w:hAnsiTheme="minorHAnsi"/>
    </w:rPr>
  </w:style>
  <w:style w:type="table" w:styleId="Mkatabulky">
    <w:name w:val="Table Grid"/>
    <w:basedOn w:val="Normlntabulka"/>
    <w:uiPriority w:val="59"/>
    <w:rsid w:val="008C7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7Textvbuletkch2Char">
    <w:name w:val="47 Text v buletkách 2 Char"/>
    <w:basedOn w:val="47TextvbuletkchChar"/>
    <w:link w:val="47Textvbuletkch2"/>
    <w:rsid w:val="00F82968"/>
    <w:rPr>
      <w:rFonts w:asciiTheme="minorHAnsi" w:hAnsiTheme="minorHAnsi"/>
    </w:rPr>
  </w:style>
  <w:style w:type="paragraph" w:customStyle="1" w:styleId="47Podnadpis2">
    <w:name w:val="47 Podnadpis 2"/>
    <w:basedOn w:val="47Podnadpis2slovan"/>
    <w:link w:val="47Podnadpis2Char"/>
    <w:rsid w:val="001F6ED9"/>
    <w:pPr>
      <w:numPr>
        <w:ilvl w:val="0"/>
      </w:numPr>
      <w:ind w:left="709" w:hanging="709"/>
    </w:pPr>
  </w:style>
  <w:style w:type="paragraph" w:styleId="Titulek">
    <w:name w:val="caption"/>
    <w:basedOn w:val="Normln"/>
    <w:next w:val="Normln"/>
    <w:uiPriority w:val="35"/>
    <w:unhideWhenUsed/>
    <w:qFormat/>
    <w:rsid w:val="0086465B"/>
    <w:pPr>
      <w:spacing w:before="60"/>
    </w:pPr>
    <w:rPr>
      <w:rFonts w:asciiTheme="majorHAnsi" w:hAnsiTheme="majorHAnsi"/>
      <w:b/>
      <w:bCs/>
      <w:sz w:val="16"/>
    </w:rPr>
  </w:style>
  <w:style w:type="character" w:customStyle="1" w:styleId="47Podnadpis2Char">
    <w:name w:val="47 Podnadpis 2 Char"/>
    <w:basedOn w:val="47Podnadpis2slovanChar"/>
    <w:link w:val="47Podnadpis2"/>
    <w:rsid w:val="001F6ED9"/>
    <w:rPr>
      <w:rFonts w:ascii="Arial" w:eastAsiaTheme="majorEastAsia" w:hAnsi="Arial" w:cs="Arial"/>
      <w:b w:val="0"/>
      <w:bCs w:val="0"/>
      <w:color w:val="002060"/>
      <w:sz w:val="24"/>
      <w:szCs w:val="24"/>
      <w:lang w:eastAsia="cs-CZ"/>
    </w:rPr>
  </w:style>
  <w:style w:type="paragraph" w:customStyle="1" w:styleId="47Zdrojovn">
    <w:name w:val="47 Zdrojování"/>
    <w:basedOn w:val="47Textvbuletkch2"/>
    <w:link w:val="47ZdrojovnChar"/>
    <w:rsid w:val="00F26625"/>
    <w:pPr>
      <w:numPr>
        <w:ilvl w:val="0"/>
        <w:numId w:val="0"/>
      </w:numPr>
    </w:pPr>
    <w:rPr>
      <w:rFonts w:cs="Arial"/>
      <w:b/>
      <w:sz w:val="16"/>
      <w:szCs w:val="18"/>
    </w:rPr>
  </w:style>
  <w:style w:type="paragraph" w:styleId="Textpoznpodarou">
    <w:name w:val="footnote text"/>
    <w:basedOn w:val="Normln"/>
    <w:link w:val="TextpoznpodarouChar"/>
    <w:uiPriority w:val="99"/>
    <w:unhideWhenUsed/>
    <w:rsid w:val="0044049F"/>
    <w:pPr>
      <w:spacing w:before="60" w:after="60"/>
      <w:jc w:val="left"/>
    </w:pPr>
    <w:rPr>
      <w:sz w:val="16"/>
    </w:rPr>
  </w:style>
  <w:style w:type="character" w:customStyle="1" w:styleId="47ZdrojovnChar">
    <w:name w:val="47 Zdrojování Char"/>
    <w:basedOn w:val="47Textvbuletkch2Char"/>
    <w:link w:val="47Zdrojovn"/>
    <w:rsid w:val="00F26625"/>
    <w:rPr>
      <w:rFonts w:ascii="Arial" w:hAnsi="Arial" w:cs="Arial"/>
      <w:b/>
      <w:sz w:val="16"/>
      <w:szCs w:val="18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44049F"/>
    <w:rPr>
      <w:rFonts w:asciiTheme="minorHAnsi" w:hAnsiTheme="minorHAnsi"/>
      <w:sz w:val="16"/>
    </w:rPr>
  </w:style>
  <w:style w:type="character" w:styleId="Znakapoznpodarou">
    <w:name w:val="footnote reference"/>
    <w:basedOn w:val="Standardnpsmoodstavce"/>
    <w:uiPriority w:val="99"/>
    <w:semiHidden/>
    <w:unhideWhenUsed/>
    <w:rsid w:val="00F07151"/>
    <w:rPr>
      <w:vertAlign w:val="superscript"/>
    </w:rPr>
  </w:style>
  <w:style w:type="paragraph" w:customStyle="1" w:styleId="47Nzevdokumentu">
    <w:name w:val="47 Název dokumentu"/>
    <w:basedOn w:val="47Nadpis"/>
    <w:link w:val="47NzevdokumentuChar"/>
    <w:rsid w:val="003106DD"/>
    <w:pPr>
      <w:spacing w:before="6480"/>
    </w:pPr>
    <w:rPr>
      <w:rFonts w:cs="Arial"/>
      <w:color w:val="002060"/>
      <w:sz w:val="36"/>
    </w:rPr>
  </w:style>
  <w:style w:type="character" w:customStyle="1" w:styleId="47NzevdokumentuChar">
    <w:name w:val="47 Název dokumentu Char"/>
    <w:basedOn w:val="47NadpisChar"/>
    <w:link w:val="47Nzevdokumentu"/>
    <w:rsid w:val="003106DD"/>
    <w:rPr>
      <w:rFonts w:ascii="Arial" w:eastAsiaTheme="majorEastAsia" w:hAnsi="Arial" w:cs="Arial"/>
      <w:color w:val="002060"/>
      <w:sz w:val="36"/>
      <w:szCs w:val="24"/>
      <w:lang w:eastAsia="cs-CZ"/>
    </w:rPr>
  </w:style>
  <w:style w:type="character" w:customStyle="1" w:styleId="Bulletslevel1Char">
    <w:name w:val="Bullets level 1 Char"/>
    <w:basedOn w:val="Standardnpsmoodstavce"/>
    <w:link w:val="Bulletslevel1"/>
    <w:locked/>
    <w:rsid w:val="009919C9"/>
    <w:rPr>
      <w:rFonts w:asciiTheme="minorHAnsi" w:hAnsiTheme="minorHAnsi" w:cs="Arial"/>
      <w:color w:val="000000"/>
      <w:sz w:val="19"/>
      <w:lang w:val="en-GB"/>
    </w:rPr>
  </w:style>
  <w:style w:type="paragraph" w:customStyle="1" w:styleId="Bulletslevel1">
    <w:name w:val="Bullets level 1"/>
    <w:basedOn w:val="Normln"/>
    <w:link w:val="Bulletslevel1Char"/>
    <w:qFormat/>
    <w:rsid w:val="009919C9"/>
    <w:pPr>
      <w:numPr>
        <w:numId w:val="3"/>
      </w:numPr>
    </w:pPr>
    <w:rPr>
      <w:rFonts w:cs="Arial"/>
      <w:color w:val="000000"/>
      <w:sz w:val="19"/>
      <w:lang w:val="en-GB"/>
    </w:rPr>
  </w:style>
  <w:style w:type="paragraph" w:customStyle="1" w:styleId="47Podnadpis3">
    <w:name w:val="47 Podnadpis 3"/>
    <w:basedOn w:val="47Podnadpis2slovan"/>
    <w:link w:val="47Podnadpis3Char"/>
    <w:rsid w:val="0049546F"/>
    <w:pPr>
      <w:numPr>
        <w:ilvl w:val="0"/>
      </w:numPr>
      <w:ind w:left="505" w:hanging="505"/>
      <w:outlineLvl w:val="3"/>
    </w:pPr>
    <w:rPr>
      <w:sz w:val="20"/>
    </w:rPr>
  </w:style>
  <w:style w:type="character" w:customStyle="1" w:styleId="47Podnadpis3Char">
    <w:name w:val="47 Podnadpis 3 Char"/>
    <w:basedOn w:val="47Podnadpis2slovanChar"/>
    <w:link w:val="47Podnadpis3"/>
    <w:rsid w:val="0049546F"/>
    <w:rPr>
      <w:rFonts w:ascii="Arial" w:eastAsiaTheme="majorEastAsia" w:hAnsi="Arial" w:cs="Arial"/>
      <w:b w:val="0"/>
      <w:color w:val="002060"/>
      <w:sz w:val="20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00636"/>
    <w:pPr>
      <w:spacing w:after="0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00636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D6C2B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D6C2B"/>
    <w:rPr>
      <w:rFonts w:ascii="Arial" w:hAnsi="Arial"/>
      <w:sz w:val="20"/>
    </w:rPr>
  </w:style>
  <w:style w:type="paragraph" w:styleId="Zpat">
    <w:name w:val="footer"/>
    <w:basedOn w:val="Normln"/>
    <w:link w:val="ZpatChar"/>
    <w:uiPriority w:val="99"/>
    <w:unhideWhenUsed/>
    <w:rsid w:val="00AD6C2B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D6C2B"/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640FA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40FA6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40FA6"/>
    <w:rPr>
      <w:rFonts w:ascii="Arial" w:hAnsi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40FA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40FA6"/>
    <w:rPr>
      <w:rFonts w:ascii="Arial" w:hAnsi="Arial"/>
      <w:b/>
      <w:bCs/>
      <w:sz w:val="20"/>
      <w:szCs w:val="20"/>
    </w:rPr>
  </w:style>
  <w:style w:type="character" w:customStyle="1" w:styleId="Nadpis1Char">
    <w:name w:val="Nadpis 1 Char"/>
    <w:aliases w:val="Nadpis kapitoly Char"/>
    <w:basedOn w:val="Standardnpsmoodstavce"/>
    <w:link w:val="Nadpis1"/>
    <w:uiPriority w:val="9"/>
    <w:rsid w:val="00817955"/>
    <w:rPr>
      <w:rFonts w:eastAsiaTheme="majorEastAsia" w:cs="Segoe UI"/>
      <w:bCs/>
      <w:color w:val="093D93" w:themeColor="accent1"/>
      <w:sz w:val="32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817955"/>
    <w:rPr>
      <w:rFonts w:eastAsiaTheme="majorEastAsia" w:cs="Arial"/>
      <w:color w:val="093D93" w:themeColor="accent1"/>
      <w:sz w:val="22"/>
      <w:szCs w:val="22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B40C0C"/>
    <w:rPr>
      <w:rFonts w:eastAsiaTheme="majorEastAsia" w:cs="Arial"/>
      <w:color w:val="093D93" w:themeColor="accent1"/>
      <w:sz w:val="22"/>
      <w:szCs w:val="22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906A2"/>
    <w:rPr>
      <w:rFonts w:asciiTheme="majorHAnsi" w:eastAsiaTheme="majorEastAsia" w:hAnsiTheme="majorHAnsi" w:cstheme="majorBidi"/>
      <w:i/>
      <w:iCs/>
      <w:color w:val="041E49" w:themeColor="accent1" w:themeShade="7F"/>
    </w:rPr>
  </w:style>
  <w:style w:type="table" w:styleId="Svtlstnovnzvraznn1">
    <w:name w:val="Light Shading Accent 1"/>
    <w:basedOn w:val="Normlntabulka"/>
    <w:uiPriority w:val="60"/>
    <w:rsid w:val="00C96D6F"/>
    <w:pPr>
      <w:spacing w:after="0" w:line="240" w:lineRule="auto"/>
    </w:pPr>
    <w:rPr>
      <w:color w:val="062D6D" w:themeColor="accent1" w:themeShade="BF"/>
    </w:rPr>
    <w:tblPr>
      <w:tblStyleRowBandSize w:val="1"/>
      <w:tblStyleColBandSize w:val="1"/>
      <w:tblBorders>
        <w:top w:val="single" w:sz="8" w:space="0" w:color="093D93" w:themeColor="accent1"/>
        <w:bottom w:val="single" w:sz="8" w:space="0" w:color="093D9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93D93" w:themeColor="accent1"/>
          <w:left w:val="nil"/>
          <w:bottom w:val="single" w:sz="8" w:space="0" w:color="093D9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93D93" w:themeColor="accent1"/>
          <w:left w:val="nil"/>
          <w:bottom w:val="single" w:sz="8" w:space="0" w:color="093D9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C9F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C9FA" w:themeFill="accent1" w:themeFillTint="3F"/>
      </w:tcPr>
    </w:tblStylePr>
  </w:style>
  <w:style w:type="table" w:styleId="Svtlstnovn">
    <w:name w:val="Light Shading"/>
    <w:basedOn w:val="Normlntabulka"/>
    <w:uiPriority w:val="60"/>
    <w:rsid w:val="00C96D6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eznamzvraznn1">
    <w:name w:val="Light List Accent 1"/>
    <w:basedOn w:val="Normlntabulka"/>
    <w:uiPriority w:val="61"/>
    <w:rsid w:val="00C96D6F"/>
    <w:pPr>
      <w:spacing w:after="0" w:line="240" w:lineRule="auto"/>
    </w:pPr>
    <w:tblPr>
      <w:tblStyleRowBandSize w:val="1"/>
      <w:tblStyleColBandSize w:val="1"/>
      <w:tblBorders>
        <w:top w:val="single" w:sz="8" w:space="0" w:color="093D93" w:themeColor="accent1"/>
        <w:left w:val="single" w:sz="8" w:space="0" w:color="093D93" w:themeColor="accent1"/>
        <w:bottom w:val="single" w:sz="8" w:space="0" w:color="093D93" w:themeColor="accent1"/>
        <w:right w:val="single" w:sz="8" w:space="0" w:color="093D9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93D9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93D93" w:themeColor="accent1"/>
          <w:left w:val="single" w:sz="8" w:space="0" w:color="093D93" w:themeColor="accent1"/>
          <w:bottom w:val="single" w:sz="8" w:space="0" w:color="093D93" w:themeColor="accent1"/>
          <w:right w:val="single" w:sz="8" w:space="0" w:color="093D9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93D93" w:themeColor="accent1"/>
          <w:left w:val="single" w:sz="8" w:space="0" w:color="093D93" w:themeColor="accent1"/>
          <w:bottom w:val="single" w:sz="8" w:space="0" w:color="093D93" w:themeColor="accent1"/>
          <w:right w:val="single" w:sz="8" w:space="0" w:color="093D93" w:themeColor="accent1"/>
        </w:tcBorders>
      </w:tcPr>
    </w:tblStylePr>
    <w:tblStylePr w:type="band1Horz">
      <w:tblPr/>
      <w:tcPr>
        <w:tcBorders>
          <w:top w:val="single" w:sz="8" w:space="0" w:color="093D93" w:themeColor="accent1"/>
          <w:left w:val="single" w:sz="8" w:space="0" w:color="093D93" w:themeColor="accent1"/>
          <w:bottom w:val="single" w:sz="8" w:space="0" w:color="093D93" w:themeColor="accent1"/>
          <w:right w:val="single" w:sz="8" w:space="0" w:color="093D93" w:themeColor="accent1"/>
        </w:tcBorders>
      </w:tcPr>
    </w:tblStylePr>
  </w:style>
  <w:style w:type="table" w:styleId="Svtlmkazvraznn1">
    <w:name w:val="Light Grid Accent 1"/>
    <w:basedOn w:val="Normlntabulka"/>
    <w:uiPriority w:val="62"/>
    <w:rsid w:val="00C96D6F"/>
    <w:pPr>
      <w:spacing w:after="0" w:line="240" w:lineRule="auto"/>
    </w:pPr>
    <w:tblPr>
      <w:tblStyleRowBandSize w:val="1"/>
      <w:tblStyleColBandSize w:val="1"/>
      <w:tblBorders>
        <w:top w:val="single" w:sz="8" w:space="0" w:color="093D93" w:themeColor="accent1"/>
        <w:left w:val="single" w:sz="8" w:space="0" w:color="093D93" w:themeColor="accent1"/>
        <w:bottom w:val="single" w:sz="8" w:space="0" w:color="093D93" w:themeColor="accent1"/>
        <w:right w:val="single" w:sz="8" w:space="0" w:color="093D93" w:themeColor="accent1"/>
        <w:insideH w:val="single" w:sz="8" w:space="0" w:color="093D93" w:themeColor="accent1"/>
        <w:insideV w:val="single" w:sz="8" w:space="0" w:color="093D9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93D93" w:themeColor="accent1"/>
          <w:left w:val="single" w:sz="8" w:space="0" w:color="093D93" w:themeColor="accent1"/>
          <w:bottom w:val="single" w:sz="18" w:space="0" w:color="093D93" w:themeColor="accent1"/>
          <w:right w:val="single" w:sz="8" w:space="0" w:color="093D93" w:themeColor="accent1"/>
          <w:insideH w:val="nil"/>
          <w:insideV w:val="single" w:sz="8" w:space="0" w:color="093D9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93D93" w:themeColor="accent1"/>
          <w:left w:val="single" w:sz="8" w:space="0" w:color="093D93" w:themeColor="accent1"/>
          <w:bottom w:val="single" w:sz="8" w:space="0" w:color="093D93" w:themeColor="accent1"/>
          <w:right w:val="single" w:sz="8" w:space="0" w:color="093D93" w:themeColor="accent1"/>
          <w:insideH w:val="nil"/>
          <w:insideV w:val="single" w:sz="8" w:space="0" w:color="093D9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93D93" w:themeColor="accent1"/>
          <w:left w:val="single" w:sz="8" w:space="0" w:color="093D93" w:themeColor="accent1"/>
          <w:bottom w:val="single" w:sz="8" w:space="0" w:color="093D93" w:themeColor="accent1"/>
          <w:right w:val="single" w:sz="8" w:space="0" w:color="093D93" w:themeColor="accent1"/>
        </w:tcBorders>
      </w:tcPr>
    </w:tblStylePr>
    <w:tblStylePr w:type="band1Vert">
      <w:tblPr/>
      <w:tcPr>
        <w:tcBorders>
          <w:top w:val="single" w:sz="8" w:space="0" w:color="093D93" w:themeColor="accent1"/>
          <w:left w:val="single" w:sz="8" w:space="0" w:color="093D93" w:themeColor="accent1"/>
          <w:bottom w:val="single" w:sz="8" w:space="0" w:color="093D93" w:themeColor="accent1"/>
          <w:right w:val="single" w:sz="8" w:space="0" w:color="093D93" w:themeColor="accent1"/>
        </w:tcBorders>
        <w:shd w:val="clear" w:color="auto" w:fill="ACC9FA" w:themeFill="accent1" w:themeFillTint="3F"/>
      </w:tcPr>
    </w:tblStylePr>
    <w:tblStylePr w:type="band1Horz">
      <w:tblPr/>
      <w:tcPr>
        <w:tcBorders>
          <w:top w:val="single" w:sz="8" w:space="0" w:color="093D93" w:themeColor="accent1"/>
          <w:left w:val="single" w:sz="8" w:space="0" w:color="093D93" w:themeColor="accent1"/>
          <w:bottom w:val="single" w:sz="8" w:space="0" w:color="093D93" w:themeColor="accent1"/>
          <w:right w:val="single" w:sz="8" w:space="0" w:color="093D93" w:themeColor="accent1"/>
          <w:insideV w:val="single" w:sz="8" w:space="0" w:color="093D93" w:themeColor="accent1"/>
        </w:tcBorders>
        <w:shd w:val="clear" w:color="auto" w:fill="ACC9FA" w:themeFill="accent1" w:themeFillTint="3F"/>
      </w:tcPr>
    </w:tblStylePr>
    <w:tblStylePr w:type="band2Horz">
      <w:tblPr/>
      <w:tcPr>
        <w:tcBorders>
          <w:top w:val="single" w:sz="8" w:space="0" w:color="093D93" w:themeColor="accent1"/>
          <w:left w:val="single" w:sz="8" w:space="0" w:color="093D93" w:themeColor="accent1"/>
          <w:bottom w:val="single" w:sz="8" w:space="0" w:color="093D93" w:themeColor="accent1"/>
          <w:right w:val="single" w:sz="8" w:space="0" w:color="093D93" w:themeColor="accent1"/>
          <w:insideV w:val="single" w:sz="8" w:space="0" w:color="093D93" w:themeColor="accent1"/>
        </w:tcBorders>
      </w:tcPr>
    </w:tblStylePr>
  </w:style>
  <w:style w:type="character" w:styleId="Nzevknihy">
    <w:name w:val="Book Title"/>
    <w:basedOn w:val="Standardnpsmoodstavce"/>
    <w:uiPriority w:val="33"/>
    <w:rsid w:val="003906A2"/>
    <w:rPr>
      <w:b/>
      <w:bCs/>
      <w:smallCaps/>
      <w:spacing w:val="5"/>
    </w:rPr>
  </w:style>
  <w:style w:type="paragraph" w:styleId="Nadpisobsahu">
    <w:name w:val="TOC Heading"/>
    <w:aliases w:val="Nadpis nečíslovaných kapitol"/>
    <w:basedOn w:val="Nadpis1"/>
    <w:next w:val="Normln"/>
    <w:uiPriority w:val="39"/>
    <w:unhideWhenUsed/>
    <w:qFormat/>
    <w:rsid w:val="008240B8"/>
    <w:pPr>
      <w:numPr>
        <w:numId w:val="0"/>
      </w:numPr>
      <w:outlineLvl w:val="9"/>
    </w:pPr>
    <w:rPr>
      <w:rFonts w:ascii="Segoe UI" w:hAnsi="Segoe UI"/>
    </w:rPr>
  </w:style>
  <w:style w:type="paragraph" w:styleId="Obsah1">
    <w:name w:val="toc 1"/>
    <w:basedOn w:val="Normln"/>
    <w:next w:val="Normln"/>
    <w:autoRedefine/>
    <w:uiPriority w:val="39"/>
    <w:unhideWhenUsed/>
    <w:rsid w:val="007B5A7B"/>
    <w:pPr>
      <w:tabs>
        <w:tab w:val="left" w:pos="426"/>
        <w:tab w:val="right" w:leader="dot" w:pos="9060"/>
      </w:tabs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7B5A7B"/>
    <w:pPr>
      <w:tabs>
        <w:tab w:val="right" w:leader="dot" w:pos="9060"/>
      </w:tabs>
      <w:spacing w:after="100"/>
      <w:ind w:left="426"/>
    </w:pPr>
  </w:style>
  <w:style w:type="paragraph" w:styleId="Obsah3">
    <w:name w:val="toc 3"/>
    <w:basedOn w:val="Normln"/>
    <w:next w:val="Normln"/>
    <w:autoRedefine/>
    <w:uiPriority w:val="39"/>
    <w:unhideWhenUsed/>
    <w:rsid w:val="004C31CD"/>
    <w:pPr>
      <w:tabs>
        <w:tab w:val="left" w:pos="426"/>
        <w:tab w:val="right" w:leader="dot" w:pos="9060"/>
      </w:tabs>
      <w:spacing w:after="100"/>
      <w:ind w:left="851"/>
    </w:pPr>
  </w:style>
  <w:style w:type="character" w:styleId="Hypertextovodkaz">
    <w:name w:val="Hyperlink"/>
    <w:basedOn w:val="Standardnpsmoodstavce"/>
    <w:uiPriority w:val="99"/>
    <w:unhideWhenUsed/>
    <w:rsid w:val="00E769C1"/>
    <w:rPr>
      <w:color w:val="009DEA" w:themeColor="hyperlink"/>
      <w:u w:val="single"/>
    </w:rPr>
  </w:style>
  <w:style w:type="paragraph" w:styleId="Seznamobrzk">
    <w:name w:val="table of figures"/>
    <w:basedOn w:val="Normln"/>
    <w:next w:val="Normln"/>
    <w:uiPriority w:val="99"/>
    <w:unhideWhenUsed/>
    <w:rsid w:val="00E769C1"/>
    <w:pPr>
      <w:spacing w:after="0"/>
    </w:pPr>
  </w:style>
  <w:style w:type="table" w:styleId="Svtlseznamzvraznn2">
    <w:name w:val="Light List Accent 2"/>
    <w:basedOn w:val="Normlntabulka"/>
    <w:uiPriority w:val="61"/>
    <w:rsid w:val="005911C1"/>
    <w:pPr>
      <w:spacing w:after="0" w:line="240" w:lineRule="auto"/>
    </w:pPr>
    <w:tblPr>
      <w:tblStyleRowBandSize w:val="1"/>
      <w:tblStyleColBandSize w:val="1"/>
      <w:tblBorders>
        <w:top w:val="single" w:sz="8" w:space="0" w:color="2DB9FF" w:themeColor="accent2"/>
        <w:left w:val="single" w:sz="8" w:space="0" w:color="2DB9FF" w:themeColor="accent2"/>
        <w:bottom w:val="single" w:sz="8" w:space="0" w:color="2DB9FF" w:themeColor="accent2"/>
        <w:right w:val="single" w:sz="8" w:space="0" w:color="2DB9F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DB9F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B9FF" w:themeColor="accent2"/>
          <w:left w:val="single" w:sz="8" w:space="0" w:color="2DB9FF" w:themeColor="accent2"/>
          <w:bottom w:val="single" w:sz="8" w:space="0" w:color="2DB9FF" w:themeColor="accent2"/>
          <w:right w:val="single" w:sz="8" w:space="0" w:color="2DB9F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DB9FF" w:themeColor="accent2"/>
          <w:left w:val="single" w:sz="8" w:space="0" w:color="2DB9FF" w:themeColor="accent2"/>
          <w:bottom w:val="single" w:sz="8" w:space="0" w:color="2DB9FF" w:themeColor="accent2"/>
          <w:right w:val="single" w:sz="8" w:space="0" w:color="2DB9FF" w:themeColor="accent2"/>
        </w:tcBorders>
      </w:tcPr>
    </w:tblStylePr>
    <w:tblStylePr w:type="band1Horz">
      <w:tblPr/>
      <w:tcPr>
        <w:tcBorders>
          <w:top w:val="single" w:sz="8" w:space="0" w:color="2DB9FF" w:themeColor="accent2"/>
          <w:left w:val="single" w:sz="8" w:space="0" w:color="2DB9FF" w:themeColor="accent2"/>
          <w:bottom w:val="single" w:sz="8" w:space="0" w:color="2DB9FF" w:themeColor="accent2"/>
          <w:right w:val="single" w:sz="8" w:space="0" w:color="2DB9FF" w:themeColor="accent2"/>
        </w:tcBorders>
      </w:tcPr>
    </w:tblStylePr>
  </w:style>
  <w:style w:type="table" w:styleId="Svtlstnovnzvraznn2">
    <w:name w:val="Light Shading Accent 2"/>
    <w:basedOn w:val="Normlntabulka"/>
    <w:uiPriority w:val="60"/>
    <w:rsid w:val="00CB7EAD"/>
    <w:pPr>
      <w:spacing w:after="0" w:line="240" w:lineRule="auto"/>
    </w:pPr>
    <w:rPr>
      <w:color w:val="0095E0" w:themeColor="accent2" w:themeShade="BF"/>
    </w:rPr>
    <w:tblPr>
      <w:tblStyleRowBandSize w:val="1"/>
      <w:tblStyleColBandSize w:val="1"/>
      <w:tblBorders>
        <w:top w:val="single" w:sz="8" w:space="0" w:color="2DB9FF" w:themeColor="accent2"/>
        <w:bottom w:val="single" w:sz="8" w:space="0" w:color="2DB9F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B9FF" w:themeColor="accent2"/>
          <w:left w:val="nil"/>
          <w:bottom w:val="single" w:sz="8" w:space="0" w:color="2DB9F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B9FF" w:themeColor="accent2"/>
          <w:left w:val="nil"/>
          <w:bottom w:val="single" w:sz="8" w:space="0" w:color="2DB9F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D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EDFF" w:themeFill="accent2" w:themeFillTint="3F"/>
      </w:tcPr>
    </w:tblStylePr>
  </w:style>
  <w:style w:type="character" w:customStyle="1" w:styleId="Nadpis2Char">
    <w:name w:val="Nadpis 2 Char"/>
    <w:basedOn w:val="Standardnpsmoodstavce"/>
    <w:link w:val="Nadpis2"/>
    <w:uiPriority w:val="9"/>
    <w:rsid w:val="00817955"/>
    <w:rPr>
      <w:rFonts w:eastAsiaTheme="majorEastAsia" w:cs="Segoe UI"/>
      <w:color w:val="093D93" w:themeColor="accent1"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906A2"/>
    <w:rPr>
      <w:rFonts w:asciiTheme="majorHAnsi" w:eastAsiaTheme="majorEastAsia" w:hAnsiTheme="majorHAnsi" w:cstheme="majorBidi"/>
      <w:color w:val="041E49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906A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906A2"/>
    <w:rPr>
      <w:rFonts w:asciiTheme="majorHAnsi" w:eastAsiaTheme="majorEastAsia" w:hAnsiTheme="majorHAnsi" w:cstheme="majorBidi"/>
      <w:color w:val="093D93" w:themeColor="accent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906A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zev">
    <w:name w:val="Title"/>
    <w:aliases w:val="Název dokumentu"/>
    <w:basedOn w:val="47Nzevdokumentu"/>
    <w:next w:val="Normln"/>
    <w:link w:val="NzevChar"/>
    <w:uiPriority w:val="10"/>
    <w:qFormat/>
    <w:rsid w:val="00806AEF"/>
    <w:pPr>
      <w:numPr>
        <w:numId w:val="0"/>
      </w:numPr>
      <w:spacing w:before="240"/>
    </w:pPr>
    <w:rPr>
      <w:rFonts w:ascii="Segoe UI Semibold" w:hAnsi="Segoe UI Semibold"/>
    </w:rPr>
  </w:style>
  <w:style w:type="character" w:customStyle="1" w:styleId="NzevChar">
    <w:name w:val="Název Char"/>
    <w:aliases w:val="Název dokumentu Char"/>
    <w:basedOn w:val="Standardnpsmoodstavce"/>
    <w:link w:val="Nzev"/>
    <w:uiPriority w:val="10"/>
    <w:rsid w:val="00806AEF"/>
    <w:rPr>
      <w:rFonts w:eastAsiaTheme="majorEastAsia" w:cs="Arial"/>
      <w:color w:val="002060"/>
      <w:sz w:val="36"/>
      <w:szCs w:val="24"/>
      <w:lang w:eastAsia="cs-CZ"/>
    </w:rPr>
  </w:style>
  <w:style w:type="paragraph" w:styleId="Podtitul">
    <w:name w:val="Subtitle"/>
    <w:basedOn w:val="Nadpisobsahu"/>
    <w:next w:val="Normln"/>
    <w:link w:val="PodtitulChar"/>
    <w:uiPriority w:val="11"/>
    <w:qFormat/>
    <w:rsid w:val="00E93184"/>
    <w:pPr>
      <w:pageBreakBefore w:val="0"/>
    </w:pPr>
  </w:style>
  <w:style w:type="character" w:customStyle="1" w:styleId="PodtitulChar">
    <w:name w:val="Podtitul Char"/>
    <w:basedOn w:val="Standardnpsmoodstavce"/>
    <w:link w:val="Podtitul"/>
    <w:uiPriority w:val="11"/>
    <w:rsid w:val="00E93184"/>
    <w:rPr>
      <w:rFonts w:ascii="Segoe UI" w:eastAsiaTheme="majorEastAsia" w:hAnsi="Segoe UI" w:cs="Segoe UI"/>
      <w:bCs/>
      <w:color w:val="093D93" w:themeColor="accent1"/>
      <w:sz w:val="32"/>
      <w:szCs w:val="28"/>
      <w:lang w:eastAsia="cs-CZ"/>
    </w:rPr>
  </w:style>
  <w:style w:type="character" w:styleId="Siln">
    <w:name w:val="Strong"/>
    <w:aliases w:val="Tučné"/>
    <w:basedOn w:val="Standardnpsmoodstavce"/>
    <w:uiPriority w:val="22"/>
    <w:qFormat/>
    <w:rsid w:val="003906A2"/>
    <w:rPr>
      <w:b/>
      <w:bCs/>
    </w:rPr>
  </w:style>
  <w:style w:type="character" w:styleId="Zvraznn">
    <w:name w:val="Emphasis"/>
    <w:basedOn w:val="Standardnpsmoodstavce"/>
    <w:uiPriority w:val="20"/>
    <w:rsid w:val="003906A2"/>
    <w:rPr>
      <w:i/>
      <w:iCs/>
    </w:rPr>
  </w:style>
  <w:style w:type="paragraph" w:styleId="Bezmezer">
    <w:name w:val="No Spacing"/>
    <w:link w:val="BezmezerChar"/>
    <w:uiPriority w:val="1"/>
    <w:rsid w:val="003906A2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3906A2"/>
  </w:style>
  <w:style w:type="paragraph" w:styleId="Citt">
    <w:name w:val="Quote"/>
    <w:basedOn w:val="Normln"/>
    <w:next w:val="Normln"/>
    <w:link w:val="CittChar"/>
    <w:uiPriority w:val="29"/>
    <w:rsid w:val="003906A2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3906A2"/>
    <w:rPr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rsid w:val="003906A2"/>
    <w:pPr>
      <w:pBdr>
        <w:bottom w:val="single" w:sz="4" w:space="4" w:color="093D93" w:themeColor="accent1"/>
      </w:pBdr>
      <w:spacing w:before="200" w:after="280"/>
      <w:ind w:left="936" w:right="936"/>
    </w:pPr>
    <w:rPr>
      <w:b/>
      <w:bCs/>
      <w:i/>
      <w:iCs/>
      <w:color w:val="093D93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906A2"/>
    <w:rPr>
      <w:b/>
      <w:bCs/>
      <w:i/>
      <w:iCs/>
      <w:color w:val="093D93" w:themeColor="accent1"/>
    </w:rPr>
  </w:style>
  <w:style w:type="character" w:styleId="Zdraznnjemn">
    <w:name w:val="Subtle Emphasis"/>
    <w:basedOn w:val="Standardnpsmoodstavce"/>
    <w:uiPriority w:val="19"/>
    <w:rsid w:val="003906A2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rsid w:val="003906A2"/>
    <w:rPr>
      <w:b/>
      <w:bCs/>
      <w:i/>
      <w:iCs/>
      <w:color w:val="093D93" w:themeColor="accent1"/>
    </w:rPr>
  </w:style>
  <w:style w:type="character" w:styleId="Odkazjemn">
    <w:name w:val="Subtle Reference"/>
    <w:basedOn w:val="Standardnpsmoodstavce"/>
    <w:uiPriority w:val="31"/>
    <w:rsid w:val="003906A2"/>
    <w:rPr>
      <w:smallCaps/>
      <w:color w:val="2DB9FF" w:themeColor="accent2"/>
      <w:u w:val="single"/>
    </w:rPr>
  </w:style>
  <w:style w:type="character" w:styleId="Odkazintenzivn">
    <w:name w:val="Intense Reference"/>
    <w:aliases w:val="Odkaz"/>
    <w:basedOn w:val="Standardnpsmoodstavce"/>
    <w:uiPriority w:val="32"/>
    <w:qFormat/>
    <w:rsid w:val="008700BC"/>
    <w:rPr>
      <w:b w:val="0"/>
      <w:bCs/>
      <w:smallCaps/>
      <w:color w:val="2DB9FF" w:themeColor="accent2"/>
      <w:spacing w:val="5"/>
      <w:u w:val="single"/>
    </w:rPr>
  </w:style>
  <w:style w:type="table" w:styleId="Barevnseznamzvraznn2">
    <w:name w:val="Colorful List Accent 2"/>
    <w:basedOn w:val="Normlntabulka"/>
    <w:uiPriority w:val="72"/>
    <w:rsid w:val="003906A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F8F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A0F0" w:themeFill="accent2" w:themeFillShade="CC"/>
      </w:tcPr>
    </w:tblStylePr>
    <w:tblStylePr w:type="lastRow">
      <w:rPr>
        <w:b/>
        <w:bCs/>
        <w:color w:val="00A0F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EDFF" w:themeFill="accent2" w:themeFillTint="3F"/>
      </w:tcPr>
    </w:tblStylePr>
    <w:tblStylePr w:type="band1Horz">
      <w:tblPr/>
      <w:tcPr>
        <w:shd w:val="clear" w:color="auto" w:fill="D5F1FF" w:themeFill="accent2" w:themeFillTint="33"/>
      </w:tcPr>
    </w:tblStylePr>
  </w:style>
  <w:style w:type="table" w:styleId="Barevnseznam">
    <w:name w:val="Colorful List"/>
    <w:basedOn w:val="Normlntabulka"/>
    <w:uiPriority w:val="72"/>
    <w:rsid w:val="003906A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A0F0" w:themeFill="accent2" w:themeFillShade="CC"/>
      </w:tcPr>
    </w:tblStylePr>
    <w:tblStylePr w:type="lastRow">
      <w:rPr>
        <w:b/>
        <w:bCs/>
        <w:color w:val="00A0F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ulka">
    <w:name w:val="Tabulka"/>
    <w:basedOn w:val="Normln"/>
    <w:qFormat/>
    <w:rsid w:val="009D4C3D"/>
    <w:pPr>
      <w:keepLines/>
      <w:spacing w:before="100" w:beforeAutospacing="1" w:after="100" w:afterAutospacing="1"/>
      <w:ind w:left="113" w:right="113"/>
      <w:jc w:val="left"/>
    </w:pPr>
    <w:rPr>
      <w:rFonts w:eastAsia="Times New Roman"/>
      <w:sz w:val="16"/>
      <w:szCs w:val="16"/>
      <w:lang w:val="en-US" w:eastAsia="cs-CZ"/>
    </w:rPr>
  </w:style>
  <w:style w:type="paragraph" w:customStyle="1" w:styleId="Tituleksrou">
    <w:name w:val="Titulek s čárou"/>
    <w:basedOn w:val="Titulek"/>
    <w:qFormat/>
    <w:rsid w:val="004840A9"/>
    <w:pPr>
      <w:keepNext/>
      <w:pBdr>
        <w:top w:val="single" w:sz="24" w:space="1" w:color="E5E5E5" w:themeColor="text1" w:themeTint="1A"/>
      </w:pBdr>
    </w:pPr>
    <w:rPr>
      <w:sz w:val="20"/>
    </w:rPr>
  </w:style>
  <w:style w:type="paragraph" w:customStyle="1" w:styleId="Dleitodstavec">
    <w:name w:val="Důležitý odstavec"/>
    <w:basedOn w:val="Normln"/>
    <w:rsid w:val="00FF0221"/>
    <w:pPr>
      <w:spacing w:after="0"/>
    </w:pPr>
  </w:style>
  <w:style w:type="table" w:styleId="Barevnseznamzvraznn4">
    <w:name w:val="Colorful List Accent 4"/>
    <w:basedOn w:val="Normlntabulka"/>
    <w:uiPriority w:val="72"/>
    <w:rsid w:val="00FF0221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3EB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EEB00" w:themeFill="accent3" w:themeFillShade="CC"/>
      </w:tcPr>
    </w:tblStylePr>
    <w:tblStylePr w:type="lastRow">
      <w:rPr>
        <w:b/>
        <w:bCs/>
        <w:color w:val="FEEB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3CE" w:themeFill="accent4" w:themeFillTint="3F"/>
      </w:tcPr>
    </w:tblStylePr>
    <w:tblStylePr w:type="band1Horz">
      <w:tblPr/>
      <w:tcPr>
        <w:shd w:val="clear" w:color="auto" w:fill="FEE8D7" w:themeFill="accent4" w:themeFillTint="33"/>
      </w:tcPr>
    </w:tblStylePr>
  </w:style>
  <w:style w:type="table" w:customStyle="1" w:styleId="Dleitinformace">
    <w:name w:val="Důležitá informace"/>
    <w:basedOn w:val="Normlntabulka"/>
    <w:uiPriority w:val="99"/>
    <w:rsid w:val="008E74A9"/>
    <w:pPr>
      <w:spacing w:before="60" w:after="60" w:line="240" w:lineRule="auto"/>
      <w:ind w:left="170" w:right="170"/>
    </w:pPr>
    <w:rPr>
      <w:rFonts w:ascii="Arial" w:hAnsi="Arial"/>
    </w:rPr>
    <w:tblPr>
      <w:tblStyleRowBandSize w:val="1"/>
      <w:tblStyleColBandSize w:val="1"/>
      <w:tblCellMar>
        <w:top w:w="113" w:type="dxa"/>
        <w:bottom w:w="113" w:type="dxa"/>
      </w:tblCellMar>
    </w:tblPr>
    <w:tcPr>
      <w:shd w:val="clear" w:color="auto" w:fill="F2F2F2" w:themeFill="background1" w:themeFillShade="F2"/>
    </w:tcPr>
    <w:tblStylePr w:type="firstRow">
      <w:tblPr/>
      <w:tcPr>
        <w:tcBorders>
          <w:top w:val="nil"/>
          <w:left w:val="single" w:sz="24" w:space="0" w:color="2DB9FF" w:themeColor="accent2"/>
          <w:bottom w:val="nil"/>
          <w:right w:val="nil"/>
          <w:insideV w:val="nil"/>
        </w:tcBorders>
        <w:shd w:val="clear" w:color="auto" w:fill="2DB9FF" w:themeFill="accent2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2F2F2" w:themeFill="background1" w:themeFillShade="F2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2F2F2" w:themeFill="background1" w:themeFillShade="F2"/>
      </w:tc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2F2F2" w:themeFill="background1" w:themeFillShade="F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2F2F2" w:themeFill="background1" w:themeFillShade="F2"/>
      </w:tcPr>
    </w:tblStylePr>
    <w:tblStylePr w:type="band2Horz">
      <w:tblPr/>
      <w:tcPr>
        <w:tcBorders>
          <w:top w:val="single" w:sz="8" w:space="0" w:color="FFFFFF" w:themeColor="background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</w:style>
  <w:style w:type="table" w:customStyle="1" w:styleId="Tabulka47">
    <w:name w:val="Tabulka 47"/>
    <w:basedOn w:val="Normlntabulka"/>
    <w:uiPriority w:val="99"/>
    <w:rsid w:val="00027596"/>
    <w:pPr>
      <w:spacing w:before="100" w:beforeAutospacing="1" w:after="100" w:afterAutospacing="1" w:line="240" w:lineRule="auto"/>
      <w:ind w:left="57" w:right="57"/>
    </w:pPr>
    <w:rPr>
      <w:rFonts w:asciiTheme="minorHAnsi" w:hAnsiTheme="minorHAnsi"/>
      <w:sz w:val="16"/>
    </w:rPr>
    <w:tblPr>
      <w:tblStyleRowBandSize w:val="1"/>
      <w:tblStyleColBandSize w:val="1"/>
      <w:tblBorders>
        <w:bottom w:val="single" w:sz="24" w:space="0" w:color="2DB9FF" w:themeColor="accent2"/>
      </w:tblBorders>
    </w:tblPr>
    <w:tcPr>
      <w:vAlign w:val="center"/>
    </w:tcPr>
    <w:tblStylePr w:type="firstRow">
      <w:pPr>
        <w:wordWrap/>
        <w:spacing w:beforeLines="0" w:before="120" w:beforeAutospacing="0" w:afterLines="0" w:after="180" w:afterAutospacing="0"/>
        <w:contextualSpacing/>
        <w:mirrorIndents w:val="0"/>
        <w:jc w:val="left"/>
      </w:pPr>
      <w:rPr>
        <w:b/>
        <w:color w:val="FFFFFF" w:themeColor="background1"/>
        <w:sz w:val="16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DB9FF" w:themeFill="accent2"/>
      </w:tcPr>
    </w:tblStylePr>
    <w:tblStylePr w:type="lastRow">
      <w:rPr>
        <w:b/>
      </w:rPr>
      <w:tblPr/>
      <w:tcPr>
        <w:tcBorders>
          <w:top w:val="single" w:sz="24" w:space="0" w:color="2DB9FF" w:themeColor="accent2"/>
          <w:left w:val="nil"/>
          <w:bottom w:val="single" w:sz="24" w:space="0" w:color="2DB9FF" w:themeColor="accent2"/>
          <w:right w:val="nil"/>
          <w:insideH w:val="nil"/>
          <w:insideV w:val="nil"/>
          <w:tl2br w:val="nil"/>
          <w:tr2bl w:val="nil"/>
        </w:tcBorders>
        <w:shd w:val="clear" w:color="auto" w:fill="D5F1FF" w:themeFill="accent2" w:themeFillTint="33"/>
      </w:tcPr>
    </w:tblStylePr>
    <w:tblStylePr w:type="firstCol">
      <w:rPr>
        <w:b/>
        <w:color w:val="000000" w:themeColor="text1"/>
      </w:rPr>
      <w:tblPr/>
      <w:tcPr>
        <w:tcBorders>
          <w:right w:val="single" w:sz="8" w:space="0" w:color="DDDDDD" w:themeColor="text2" w:themeTint="33"/>
        </w:tcBorders>
        <w:shd w:val="clear" w:color="auto" w:fill="D5F1FF" w:themeFill="accent2" w:themeFillTint="33"/>
      </w:tcPr>
    </w:tblStylePr>
    <w:tblStylePr w:type="lastCol">
      <w:tblPr/>
      <w:tcPr>
        <w:tcBorders>
          <w:left w:val="single" w:sz="8" w:space="0" w:color="E5E5E5" w:themeColor="text1" w:themeTint="1A"/>
        </w:tcBorders>
        <w:shd w:val="clear" w:color="auto" w:fill="D5F1FF" w:themeFill="accent2" w:themeFillTint="33"/>
      </w:tcPr>
    </w:tblStylePr>
    <w:tblStylePr w:type="band1Vert">
      <w:tblPr/>
      <w:tcPr>
        <w:tcBorders>
          <w:top w:val="nil"/>
          <w:left w:val="nil"/>
          <w:bottom w:val="single" w:sz="24" w:space="0" w:color="2DB9FF" w:themeColor="accent2"/>
          <w:right w:val="nil"/>
          <w:insideH w:val="nil"/>
          <w:insideV w:val="nil"/>
          <w:tl2br w:val="nil"/>
          <w:tr2bl w:val="nil"/>
        </w:tcBorders>
        <w:shd w:val="clear" w:color="auto" w:fill="E5E5E5" w:themeFill="background2" w:themeFillShade="F2"/>
      </w:tcPr>
    </w:tblStylePr>
    <w:tblStylePr w:type="band1Horz">
      <w:rPr>
        <w:color w:val="auto"/>
      </w:rPr>
      <w:tblPr/>
      <w:tcPr>
        <w:shd w:val="clear" w:color="auto" w:fill="F2F2F2" w:themeFill="background1" w:themeFillShade="F2"/>
      </w:tcPr>
    </w:tblStylePr>
  </w:style>
  <w:style w:type="paragraph" w:customStyle="1" w:styleId="Titulka-spolenost">
    <w:name w:val="Titulka - společnost"/>
    <w:basedOn w:val="Normln"/>
    <w:rsid w:val="00806AEF"/>
    <w:pPr>
      <w:spacing w:after="0"/>
      <w:jc w:val="center"/>
    </w:pPr>
    <w:rPr>
      <w:rFonts w:ascii="Arial" w:eastAsiaTheme="minorHAnsi" w:hAnsi="Arial" w:cstheme="minorBidi"/>
      <w:b/>
      <w:sz w:val="40"/>
      <w:szCs w:val="22"/>
    </w:rPr>
  </w:style>
  <w:style w:type="paragraph" w:customStyle="1" w:styleId="Titulka-Pedmt">
    <w:name w:val="Titulka - Předmět"/>
    <w:basedOn w:val="Normln"/>
    <w:rsid w:val="00806AEF"/>
    <w:pPr>
      <w:spacing w:after="0"/>
    </w:pPr>
    <w:rPr>
      <w:rFonts w:ascii="Arial" w:eastAsiaTheme="minorHAnsi" w:hAnsi="Arial" w:cstheme="minorBidi"/>
      <w:b/>
      <w:color w:val="093D93" w:themeColor="accent1"/>
      <w:sz w:val="40"/>
      <w:szCs w:val="40"/>
    </w:rPr>
  </w:style>
  <w:style w:type="paragraph" w:customStyle="1" w:styleId="Titulka-Nzev">
    <w:name w:val="Titulka - Název"/>
    <w:basedOn w:val="Normln"/>
    <w:rsid w:val="00806AEF"/>
    <w:pPr>
      <w:spacing w:after="0"/>
      <w:jc w:val="left"/>
    </w:pPr>
    <w:rPr>
      <w:rFonts w:ascii="Arial" w:eastAsiaTheme="minorHAnsi" w:hAnsi="Arial" w:cstheme="minorBidi"/>
      <w:b/>
      <w:sz w:val="40"/>
      <w:szCs w:val="40"/>
    </w:rPr>
  </w:style>
  <w:style w:type="paragraph" w:customStyle="1" w:styleId="Titulka-Pedmt2">
    <w:name w:val="Titulka -  Předmět 2"/>
    <w:basedOn w:val="Normln"/>
    <w:rsid w:val="00806AEF"/>
    <w:pPr>
      <w:spacing w:after="0"/>
    </w:pPr>
    <w:rPr>
      <w:rFonts w:ascii="Arial" w:eastAsiaTheme="minorHAnsi" w:hAnsi="Arial" w:cstheme="minorBidi"/>
      <w:color w:val="093D93" w:themeColor="accent1"/>
      <w:sz w:val="36"/>
      <w:szCs w:val="36"/>
    </w:rPr>
  </w:style>
  <w:style w:type="paragraph" w:customStyle="1" w:styleId="slovn">
    <w:name w:val="Číslování"/>
    <w:basedOn w:val="Normln"/>
    <w:qFormat/>
    <w:rsid w:val="00806AEF"/>
    <w:pPr>
      <w:numPr>
        <w:numId w:val="5"/>
      </w:numPr>
    </w:pPr>
    <w:rPr>
      <w:rFonts w:ascii="Arial" w:eastAsia="Times New Roman" w:hAnsi="Arial" w:cs="Arial"/>
      <w:lang w:eastAsia="cs-CZ"/>
    </w:rPr>
  </w:style>
  <w:style w:type="paragraph" w:customStyle="1" w:styleId="Odrky">
    <w:name w:val="Odrážky"/>
    <w:basedOn w:val="Normln"/>
    <w:qFormat/>
    <w:rsid w:val="00806AEF"/>
    <w:pPr>
      <w:numPr>
        <w:numId w:val="6"/>
      </w:numPr>
    </w:pPr>
    <w:rPr>
      <w:rFonts w:ascii="Arial" w:eastAsia="Times New Roman" w:hAnsi="Arial" w:cs="Arial"/>
      <w:lang w:eastAsia="cs-CZ"/>
    </w:rPr>
  </w:style>
  <w:style w:type="paragraph" w:customStyle="1" w:styleId="Nzevzjitn">
    <w:name w:val="Název zjištění"/>
    <w:basedOn w:val="Normln"/>
    <w:next w:val="Normln"/>
    <w:qFormat/>
    <w:rsid w:val="00806AEF"/>
    <w:pPr>
      <w:jc w:val="left"/>
    </w:pPr>
    <w:rPr>
      <w:rFonts w:ascii="Arial" w:eastAsiaTheme="minorHAnsi" w:hAnsi="Arial" w:cstheme="minorBidi"/>
      <w:b/>
      <w:szCs w:val="22"/>
    </w:rPr>
  </w:style>
  <w:style w:type="paragraph" w:styleId="Normlnweb">
    <w:name w:val="Normal (Web)"/>
    <w:basedOn w:val="Normln"/>
    <w:uiPriority w:val="99"/>
    <w:rsid w:val="00806AE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806A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character" w:styleId="Zstupntext">
    <w:name w:val="Placeholder Text"/>
    <w:basedOn w:val="Standardnpsmoodstavce"/>
    <w:uiPriority w:val="99"/>
    <w:semiHidden/>
    <w:rsid w:val="00806AEF"/>
    <w:rPr>
      <w:color w:val="808080"/>
    </w:rPr>
  </w:style>
  <w:style w:type="character" w:customStyle="1" w:styleId="st">
    <w:name w:val="st"/>
    <w:basedOn w:val="Standardnpsmoodstavce"/>
    <w:rsid w:val="005433DF"/>
  </w:style>
  <w:style w:type="character" w:styleId="Sledovanodkaz">
    <w:name w:val="FollowedHyperlink"/>
    <w:basedOn w:val="Standardnpsmoodstavce"/>
    <w:uiPriority w:val="99"/>
    <w:semiHidden/>
    <w:unhideWhenUsed/>
    <w:rsid w:val="00B5133C"/>
    <w:rPr>
      <w:color w:val="A5A5A5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egoe UI Semibold" w:eastAsiaTheme="minorEastAsia" w:hAnsi="Segoe UI Semibold" w:cs="Tahoma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17955"/>
    <w:pPr>
      <w:spacing w:before="120" w:after="120" w:line="240" w:lineRule="auto"/>
      <w:jc w:val="both"/>
    </w:pPr>
    <w:rPr>
      <w:rFonts w:asciiTheme="minorHAnsi" w:hAnsiTheme="minorHAnsi"/>
    </w:rPr>
  </w:style>
  <w:style w:type="paragraph" w:styleId="Nadpis1">
    <w:name w:val="heading 1"/>
    <w:aliases w:val="Nadpis kapitoly"/>
    <w:basedOn w:val="Normln"/>
    <w:next w:val="Normln"/>
    <w:link w:val="Nadpis1Char"/>
    <w:uiPriority w:val="9"/>
    <w:qFormat/>
    <w:rsid w:val="00817955"/>
    <w:pPr>
      <w:keepNext/>
      <w:keepLines/>
      <w:pageBreakBefore/>
      <w:numPr>
        <w:numId w:val="4"/>
      </w:numPr>
      <w:spacing w:before="360" w:after="240"/>
      <w:ind w:left="431" w:hanging="431"/>
      <w:jc w:val="left"/>
      <w:outlineLvl w:val="0"/>
    </w:pPr>
    <w:rPr>
      <w:rFonts w:ascii="Segoe UI Semibold" w:eastAsiaTheme="majorEastAsia" w:hAnsi="Segoe UI Semibold" w:cs="Segoe UI"/>
      <w:bCs/>
      <w:color w:val="093D93" w:themeColor="accent1"/>
      <w:sz w:val="32"/>
      <w:szCs w:val="28"/>
      <w:lang w:eastAsia="cs-CZ"/>
    </w:rPr>
  </w:style>
  <w:style w:type="paragraph" w:styleId="Nadpis2">
    <w:name w:val="heading 2"/>
    <w:basedOn w:val="47Podnadpisslovan"/>
    <w:next w:val="Normln"/>
    <w:link w:val="Nadpis2Char"/>
    <w:uiPriority w:val="9"/>
    <w:unhideWhenUsed/>
    <w:qFormat/>
    <w:rsid w:val="00817955"/>
    <w:pPr>
      <w:pageBreakBefore w:val="0"/>
      <w:numPr>
        <w:numId w:val="4"/>
      </w:numPr>
      <w:autoSpaceDE/>
      <w:autoSpaceDN/>
      <w:adjustRightInd/>
      <w:spacing w:before="240"/>
      <w:ind w:left="578" w:hanging="578"/>
      <w:jc w:val="both"/>
    </w:pPr>
    <w:rPr>
      <w:rFonts w:ascii="Segoe UI Semibold" w:hAnsi="Segoe UI Semibold" w:cs="Segoe UI"/>
      <w:color w:val="093D93" w:themeColor="accent1"/>
      <w:sz w:val="28"/>
      <w:szCs w:val="28"/>
    </w:rPr>
  </w:style>
  <w:style w:type="paragraph" w:styleId="Nadpis3">
    <w:name w:val="heading 3"/>
    <w:basedOn w:val="Nadpis4"/>
    <w:next w:val="Normln"/>
    <w:link w:val="Nadpis3Char"/>
    <w:uiPriority w:val="9"/>
    <w:unhideWhenUsed/>
    <w:qFormat/>
    <w:rsid w:val="00817955"/>
    <w:pPr>
      <w:pageBreakBefore w:val="0"/>
      <w:numPr>
        <w:ilvl w:val="2"/>
      </w:numPr>
      <w:outlineLvl w:val="2"/>
    </w:pPr>
  </w:style>
  <w:style w:type="paragraph" w:styleId="Nadpis4">
    <w:name w:val="heading 4"/>
    <w:basedOn w:val="47Podnadpis3"/>
    <w:next w:val="Normln"/>
    <w:link w:val="Nadpis4Char"/>
    <w:uiPriority w:val="9"/>
    <w:unhideWhenUsed/>
    <w:qFormat/>
    <w:rsid w:val="00B40C0C"/>
    <w:pPr>
      <w:numPr>
        <w:ilvl w:val="3"/>
        <w:numId w:val="4"/>
      </w:numPr>
    </w:pPr>
    <w:rPr>
      <w:rFonts w:ascii="Segoe UI Semibold" w:hAnsi="Segoe UI Semibold"/>
      <w:color w:val="093D93" w:themeColor="accent1"/>
      <w:sz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3906A2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041E49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906A2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41E49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906A2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906A2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093D93" w:themeColor="accent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906A2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47Nadpis">
    <w:name w:val="47 Nadpis"/>
    <w:basedOn w:val="Nadpis1"/>
    <w:link w:val="47NadpisChar"/>
    <w:rsid w:val="00BC0702"/>
    <w:pPr>
      <w:autoSpaceDE w:val="0"/>
      <w:autoSpaceDN w:val="0"/>
      <w:adjustRightInd w:val="0"/>
      <w:spacing w:before="120"/>
    </w:pPr>
    <w:rPr>
      <w:rFonts w:ascii="Arial" w:hAnsi="Arial" w:cs="Calibri-Bold"/>
      <w:bCs w:val="0"/>
      <w:color w:val="0070C0"/>
      <w:sz w:val="24"/>
      <w:szCs w:val="24"/>
    </w:rPr>
  </w:style>
  <w:style w:type="paragraph" w:customStyle="1" w:styleId="47Podnadpis">
    <w:name w:val="47 Podnadpis"/>
    <w:basedOn w:val="Normln"/>
    <w:link w:val="47PodnadpisChar"/>
    <w:rsid w:val="00304D56"/>
    <w:pPr>
      <w:autoSpaceDE w:val="0"/>
      <w:autoSpaceDN w:val="0"/>
      <w:adjustRightInd w:val="0"/>
    </w:pPr>
    <w:rPr>
      <w:rFonts w:cs="Calibri-Bold"/>
      <w:b/>
      <w:bCs/>
      <w:color w:val="002060"/>
      <w:sz w:val="22"/>
    </w:rPr>
  </w:style>
  <w:style w:type="character" w:customStyle="1" w:styleId="47NadpisChar">
    <w:name w:val="47 Nadpis Char"/>
    <w:basedOn w:val="Standardnpsmoodstavce"/>
    <w:link w:val="47Nadpis"/>
    <w:rsid w:val="00BC0702"/>
    <w:rPr>
      <w:rFonts w:ascii="Arial" w:eastAsiaTheme="majorEastAsia" w:hAnsi="Arial" w:cs="Calibri-Bold"/>
      <w:color w:val="0070C0"/>
      <w:sz w:val="24"/>
      <w:szCs w:val="24"/>
      <w:lang w:eastAsia="cs-CZ"/>
    </w:rPr>
  </w:style>
  <w:style w:type="paragraph" w:customStyle="1" w:styleId="47Nadpisslovan">
    <w:name w:val="47 Nadpis číslovaný"/>
    <w:basedOn w:val="47Nadpis"/>
    <w:link w:val="47NadpisslovanChar"/>
    <w:rsid w:val="003106DD"/>
    <w:pPr>
      <w:numPr>
        <w:numId w:val="0"/>
      </w:numPr>
    </w:pPr>
    <w:rPr>
      <w:rFonts w:cs="Arial"/>
      <w:color w:val="093D93" w:themeColor="accent1"/>
      <w:sz w:val="32"/>
    </w:rPr>
  </w:style>
  <w:style w:type="character" w:customStyle="1" w:styleId="47PodnadpisChar">
    <w:name w:val="47 Podnadpis Char"/>
    <w:basedOn w:val="Standardnpsmoodstavce"/>
    <w:link w:val="47Podnadpis"/>
    <w:rsid w:val="00304D56"/>
    <w:rPr>
      <w:rFonts w:ascii="Arial" w:hAnsi="Arial" w:cs="Calibri-Bold"/>
      <w:b/>
      <w:bCs/>
      <w:color w:val="002060"/>
    </w:rPr>
  </w:style>
  <w:style w:type="paragraph" w:customStyle="1" w:styleId="47Podnadpisslovan">
    <w:name w:val="47 Podnadpis číslovaný"/>
    <w:basedOn w:val="47Nadpisslovan"/>
    <w:link w:val="47PodnadpisslovanChar"/>
    <w:rsid w:val="00BA6916"/>
    <w:pPr>
      <w:numPr>
        <w:ilvl w:val="1"/>
      </w:numPr>
      <w:spacing w:after="120"/>
      <w:ind w:left="431" w:hanging="431"/>
      <w:outlineLvl w:val="1"/>
    </w:pPr>
    <w:rPr>
      <w:color w:val="002060"/>
      <w:sz w:val="22"/>
      <w:szCs w:val="22"/>
    </w:rPr>
  </w:style>
  <w:style w:type="character" w:customStyle="1" w:styleId="47NadpisslovanChar">
    <w:name w:val="47 Nadpis číslovaný Char"/>
    <w:basedOn w:val="47NadpisChar"/>
    <w:link w:val="47Nadpisslovan"/>
    <w:rsid w:val="003106DD"/>
    <w:rPr>
      <w:rFonts w:ascii="Arial" w:eastAsiaTheme="majorEastAsia" w:hAnsi="Arial" w:cs="Arial"/>
      <w:b w:val="0"/>
      <w:color w:val="093D93" w:themeColor="accent1"/>
      <w:sz w:val="32"/>
      <w:szCs w:val="24"/>
      <w:lang w:eastAsia="cs-CZ"/>
    </w:rPr>
  </w:style>
  <w:style w:type="paragraph" w:customStyle="1" w:styleId="47Podnadpis2slovan">
    <w:name w:val="47 Podnadpis 2 číslovaný"/>
    <w:basedOn w:val="47Podnadpisslovan"/>
    <w:link w:val="47Podnadpis2slovanChar"/>
    <w:rsid w:val="000B5C9E"/>
    <w:pPr>
      <w:numPr>
        <w:ilvl w:val="2"/>
      </w:numPr>
      <w:ind w:left="505" w:hanging="505"/>
      <w:outlineLvl w:val="2"/>
    </w:pPr>
    <w:rPr>
      <w:color w:val="auto"/>
    </w:rPr>
  </w:style>
  <w:style w:type="character" w:customStyle="1" w:styleId="47PodnadpisslovanChar">
    <w:name w:val="47 Podnadpis číslovaný Char"/>
    <w:basedOn w:val="47NadpisslovanChar"/>
    <w:link w:val="47Podnadpisslovan"/>
    <w:rsid w:val="00BA6916"/>
    <w:rPr>
      <w:rFonts w:ascii="Arial" w:eastAsiaTheme="majorEastAsia" w:hAnsi="Arial" w:cs="Arial"/>
      <w:b w:val="0"/>
      <w:color w:val="002060"/>
      <w:sz w:val="24"/>
      <w:szCs w:val="24"/>
      <w:lang w:eastAsia="cs-CZ"/>
    </w:rPr>
  </w:style>
  <w:style w:type="paragraph" w:styleId="Odstavecseseznamem">
    <w:name w:val="List Paragraph"/>
    <w:aliases w:val="Odstavec cíl se seznamem,Odstavec se seznamem1"/>
    <w:basedOn w:val="Normln"/>
    <w:link w:val="OdstavecseseznamemChar"/>
    <w:uiPriority w:val="34"/>
    <w:qFormat/>
    <w:rsid w:val="00817955"/>
    <w:pPr>
      <w:ind w:left="720"/>
    </w:pPr>
  </w:style>
  <w:style w:type="character" w:customStyle="1" w:styleId="47Podnadpis2slovanChar">
    <w:name w:val="47 Podnadpis 2 číslovaný Char"/>
    <w:basedOn w:val="47PodnadpisslovanChar"/>
    <w:link w:val="47Podnadpis2slovan"/>
    <w:rsid w:val="000B5C9E"/>
    <w:rPr>
      <w:rFonts w:ascii="Arial" w:eastAsiaTheme="majorEastAsia" w:hAnsi="Arial" w:cs="Arial"/>
      <w:b w:val="0"/>
      <w:color w:val="002060"/>
      <w:sz w:val="24"/>
      <w:szCs w:val="24"/>
      <w:lang w:eastAsia="cs-CZ"/>
    </w:rPr>
  </w:style>
  <w:style w:type="paragraph" w:customStyle="1" w:styleId="47Textvbuletkch">
    <w:name w:val="47 Text v buletkách"/>
    <w:basedOn w:val="Odstavecseseznamem"/>
    <w:link w:val="47TextvbuletkchChar"/>
    <w:rsid w:val="00F82968"/>
    <w:pPr>
      <w:numPr>
        <w:numId w:val="2"/>
      </w:numPr>
      <w:ind w:hanging="357"/>
    </w:pPr>
  </w:style>
  <w:style w:type="paragraph" w:customStyle="1" w:styleId="47Textvbuletkch2">
    <w:name w:val="47 Text v buletkách 2"/>
    <w:basedOn w:val="47Textvbuletkch"/>
    <w:link w:val="47Textvbuletkch2Char"/>
    <w:rsid w:val="00F82968"/>
    <w:pPr>
      <w:numPr>
        <w:ilvl w:val="1"/>
      </w:numPr>
    </w:pPr>
  </w:style>
  <w:style w:type="character" w:customStyle="1" w:styleId="OdstavecseseznamemChar">
    <w:name w:val="Odstavec se seznamem Char"/>
    <w:aliases w:val="Odstavec cíl se seznamem Char,Odstavec se seznamem1 Char"/>
    <w:basedOn w:val="Standardnpsmoodstavce"/>
    <w:link w:val="Odstavecseseznamem"/>
    <w:uiPriority w:val="34"/>
    <w:rsid w:val="00817955"/>
    <w:rPr>
      <w:rFonts w:asciiTheme="minorHAnsi" w:hAnsiTheme="minorHAnsi"/>
    </w:rPr>
  </w:style>
  <w:style w:type="character" w:customStyle="1" w:styleId="47TextvbuletkchChar">
    <w:name w:val="47 Text v buletkách Char"/>
    <w:basedOn w:val="OdstavecseseznamemChar"/>
    <w:link w:val="47Textvbuletkch"/>
    <w:rsid w:val="00F82968"/>
    <w:rPr>
      <w:rFonts w:asciiTheme="minorHAnsi" w:hAnsiTheme="minorHAnsi"/>
    </w:rPr>
  </w:style>
  <w:style w:type="table" w:styleId="Mkatabulky">
    <w:name w:val="Table Grid"/>
    <w:basedOn w:val="Normlntabulka"/>
    <w:uiPriority w:val="59"/>
    <w:rsid w:val="008C7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7Textvbuletkch2Char">
    <w:name w:val="47 Text v buletkách 2 Char"/>
    <w:basedOn w:val="47TextvbuletkchChar"/>
    <w:link w:val="47Textvbuletkch2"/>
    <w:rsid w:val="00F82968"/>
    <w:rPr>
      <w:rFonts w:asciiTheme="minorHAnsi" w:hAnsiTheme="minorHAnsi"/>
    </w:rPr>
  </w:style>
  <w:style w:type="paragraph" w:customStyle="1" w:styleId="47Podnadpis2">
    <w:name w:val="47 Podnadpis 2"/>
    <w:basedOn w:val="47Podnadpis2slovan"/>
    <w:link w:val="47Podnadpis2Char"/>
    <w:rsid w:val="001F6ED9"/>
    <w:pPr>
      <w:numPr>
        <w:ilvl w:val="0"/>
      </w:numPr>
      <w:ind w:left="709" w:hanging="709"/>
    </w:pPr>
  </w:style>
  <w:style w:type="paragraph" w:styleId="Titulek">
    <w:name w:val="caption"/>
    <w:basedOn w:val="Normln"/>
    <w:next w:val="Normln"/>
    <w:uiPriority w:val="35"/>
    <w:unhideWhenUsed/>
    <w:qFormat/>
    <w:rsid w:val="0086465B"/>
    <w:pPr>
      <w:spacing w:before="60"/>
    </w:pPr>
    <w:rPr>
      <w:rFonts w:asciiTheme="majorHAnsi" w:hAnsiTheme="majorHAnsi"/>
      <w:b/>
      <w:bCs/>
      <w:sz w:val="16"/>
    </w:rPr>
  </w:style>
  <w:style w:type="character" w:customStyle="1" w:styleId="47Podnadpis2Char">
    <w:name w:val="47 Podnadpis 2 Char"/>
    <w:basedOn w:val="47Podnadpis2slovanChar"/>
    <w:link w:val="47Podnadpis2"/>
    <w:rsid w:val="001F6ED9"/>
    <w:rPr>
      <w:rFonts w:ascii="Arial" w:eastAsiaTheme="majorEastAsia" w:hAnsi="Arial" w:cs="Arial"/>
      <w:b w:val="0"/>
      <w:bCs w:val="0"/>
      <w:color w:val="002060"/>
      <w:sz w:val="24"/>
      <w:szCs w:val="24"/>
      <w:lang w:eastAsia="cs-CZ"/>
    </w:rPr>
  </w:style>
  <w:style w:type="paragraph" w:customStyle="1" w:styleId="47Zdrojovn">
    <w:name w:val="47 Zdrojování"/>
    <w:basedOn w:val="47Textvbuletkch2"/>
    <w:link w:val="47ZdrojovnChar"/>
    <w:rsid w:val="00F26625"/>
    <w:pPr>
      <w:numPr>
        <w:ilvl w:val="0"/>
        <w:numId w:val="0"/>
      </w:numPr>
    </w:pPr>
    <w:rPr>
      <w:rFonts w:cs="Arial"/>
      <w:b/>
      <w:sz w:val="16"/>
      <w:szCs w:val="18"/>
    </w:rPr>
  </w:style>
  <w:style w:type="paragraph" w:styleId="Textpoznpodarou">
    <w:name w:val="footnote text"/>
    <w:basedOn w:val="Normln"/>
    <w:link w:val="TextpoznpodarouChar"/>
    <w:uiPriority w:val="99"/>
    <w:unhideWhenUsed/>
    <w:rsid w:val="0044049F"/>
    <w:pPr>
      <w:spacing w:before="60" w:after="60"/>
      <w:jc w:val="left"/>
    </w:pPr>
    <w:rPr>
      <w:sz w:val="16"/>
    </w:rPr>
  </w:style>
  <w:style w:type="character" w:customStyle="1" w:styleId="47ZdrojovnChar">
    <w:name w:val="47 Zdrojování Char"/>
    <w:basedOn w:val="47Textvbuletkch2Char"/>
    <w:link w:val="47Zdrojovn"/>
    <w:rsid w:val="00F26625"/>
    <w:rPr>
      <w:rFonts w:ascii="Arial" w:hAnsi="Arial" w:cs="Arial"/>
      <w:b/>
      <w:sz w:val="16"/>
      <w:szCs w:val="18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44049F"/>
    <w:rPr>
      <w:rFonts w:asciiTheme="minorHAnsi" w:hAnsiTheme="minorHAnsi"/>
      <w:sz w:val="16"/>
    </w:rPr>
  </w:style>
  <w:style w:type="character" w:styleId="Znakapoznpodarou">
    <w:name w:val="footnote reference"/>
    <w:basedOn w:val="Standardnpsmoodstavce"/>
    <w:uiPriority w:val="99"/>
    <w:semiHidden/>
    <w:unhideWhenUsed/>
    <w:rsid w:val="00F07151"/>
    <w:rPr>
      <w:vertAlign w:val="superscript"/>
    </w:rPr>
  </w:style>
  <w:style w:type="paragraph" w:customStyle="1" w:styleId="47Nzevdokumentu">
    <w:name w:val="47 Název dokumentu"/>
    <w:basedOn w:val="47Nadpis"/>
    <w:link w:val="47NzevdokumentuChar"/>
    <w:rsid w:val="003106DD"/>
    <w:pPr>
      <w:spacing w:before="6480"/>
    </w:pPr>
    <w:rPr>
      <w:rFonts w:cs="Arial"/>
      <w:color w:val="002060"/>
      <w:sz w:val="36"/>
    </w:rPr>
  </w:style>
  <w:style w:type="character" w:customStyle="1" w:styleId="47NzevdokumentuChar">
    <w:name w:val="47 Název dokumentu Char"/>
    <w:basedOn w:val="47NadpisChar"/>
    <w:link w:val="47Nzevdokumentu"/>
    <w:rsid w:val="003106DD"/>
    <w:rPr>
      <w:rFonts w:ascii="Arial" w:eastAsiaTheme="majorEastAsia" w:hAnsi="Arial" w:cs="Arial"/>
      <w:color w:val="002060"/>
      <w:sz w:val="36"/>
      <w:szCs w:val="24"/>
      <w:lang w:eastAsia="cs-CZ"/>
    </w:rPr>
  </w:style>
  <w:style w:type="character" w:customStyle="1" w:styleId="Bulletslevel1Char">
    <w:name w:val="Bullets level 1 Char"/>
    <w:basedOn w:val="Standardnpsmoodstavce"/>
    <w:link w:val="Bulletslevel1"/>
    <w:locked/>
    <w:rsid w:val="009919C9"/>
    <w:rPr>
      <w:rFonts w:asciiTheme="minorHAnsi" w:hAnsiTheme="minorHAnsi" w:cs="Arial"/>
      <w:color w:val="000000"/>
      <w:sz w:val="19"/>
      <w:lang w:val="en-GB"/>
    </w:rPr>
  </w:style>
  <w:style w:type="paragraph" w:customStyle="1" w:styleId="Bulletslevel1">
    <w:name w:val="Bullets level 1"/>
    <w:basedOn w:val="Normln"/>
    <w:link w:val="Bulletslevel1Char"/>
    <w:qFormat/>
    <w:rsid w:val="009919C9"/>
    <w:pPr>
      <w:numPr>
        <w:numId w:val="3"/>
      </w:numPr>
    </w:pPr>
    <w:rPr>
      <w:rFonts w:cs="Arial"/>
      <w:color w:val="000000"/>
      <w:sz w:val="19"/>
      <w:lang w:val="en-GB"/>
    </w:rPr>
  </w:style>
  <w:style w:type="paragraph" w:customStyle="1" w:styleId="47Podnadpis3">
    <w:name w:val="47 Podnadpis 3"/>
    <w:basedOn w:val="47Podnadpis2slovan"/>
    <w:link w:val="47Podnadpis3Char"/>
    <w:rsid w:val="0049546F"/>
    <w:pPr>
      <w:numPr>
        <w:ilvl w:val="0"/>
      </w:numPr>
      <w:ind w:left="505" w:hanging="505"/>
      <w:outlineLvl w:val="3"/>
    </w:pPr>
    <w:rPr>
      <w:sz w:val="20"/>
    </w:rPr>
  </w:style>
  <w:style w:type="character" w:customStyle="1" w:styleId="47Podnadpis3Char">
    <w:name w:val="47 Podnadpis 3 Char"/>
    <w:basedOn w:val="47Podnadpis2slovanChar"/>
    <w:link w:val="47Podnadpis3"/>
    <w:rsid w:val="0049546F"/>
    <w:rPr>
      <w:rFonts w:ascii="Arial" w:eastAsiaTheme="majorEastAsia" w:hAnsi="Arial" w:cs="Arial"/>
      <w:b w:val="0"/>
      <w:color w:val="002060"/>
      <w:sz w:val="20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00636"/>
    <w:pPr>
      <w:spacing w:after="0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00636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D6C2B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D6C2B"/>
    <w:rPr>
      <w:rFonts w:ascii="Arial" w:hAnsi="Arial"/>
      <w:sz w:val="20"/>
    </w:rPr>
  </w:style>
  <w:style w:type="paragraph" w:styleId="Zpat">
    <w:name w:val="footer"/>
    <w:basedOn w:val="Normln"/>
    <w:link w:val="ZpatChar"/>
    <w:uiPriority w:val="99"/>
    <w:unhideWhenUsed/>
    <w:rsid w:val="00AD6C2B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D6C2B"/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640FA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40FA6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40FA6"/>
    <w:rPr>
      <w:rFonts w:ascii="Arial" w:hAnsi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40FA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40FA6"/>
    <w:rPr>
      <w:rFonts w:ascii="Arial" w:hAnsi="Arial"/>
      <w:b/>
      <w:bCs/>
      <w:sz w:val="20"/>
      <w:szCs w:val="20"/>
    </w:rPr>
  </w:style>
  <w:style w:type="character" w:customStyle="1" w:styleId="Nadpis1Char">
    <w:name w:val="Nadpis 1 Char"/>
    <w:aliases w:val="Nadpis kapitoly Char"/>
    <w:basedOn w:val="Standardnpsmoodstavce"/>
    <w:link w:val="Nadpis1"/>
    <w:uiPriority w:val="9"/>
    <w:rsid w:val="00817955"/>
    <w:rPr>
      <w:rFonts w:eastAsiaTheme="majorEastAsia" w:cs="Segoe UI"/>
      <w:bCs/>
      <w:color w:val="093D93" w:themeColor="accent1"/>
      <w:sz w:val="32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817955"/>
    <w:rPr>
      <w:rFonts w:eastAsiaTheme="majorEastAsia" w:cs="Arial"/>
      <w:color w:val="093D93" w:themeColor="accent1"/>
      <w:sz w:val="22"/>
      <w:szCs w:val="22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B40C0C"/>
    <w:rPr>
      <w:rFonts w:eastAsiaTheme="majorEastAsia" w:cs="Arial"/>
      <w:color w:val="093D93" w:themeColor="accent1"/>
      <w:sz w:val="22"/>
      <w:szCs w:val="22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906A2"/>
    <w:rPr>
      <w:rFonts w:asciiTheme="majorHAnsi" w:eastAsiaTheme="majorEastAsia" w:hAnsiTheme="majorHAnsi" w:cstheme="majorBidi"/>
      <w:i/>
      <w:iCs/>
      <w:color w:val="041E49" w:themeColor="accent1" w:themeShade="7F"/>
    </w:rPr>
  </w:style>
  <w:style w:type="table" w:styleId="Svtlstnovnzvraznn1">
    <w:name w:val="Light Shading Accent 1"/>
    <w:basedOn w:val="Normlntabulka"/>
    <w:uiPriority w:val="60"/>
    <w:rsid w:val="00C96D6F"/>
    <w:pPr>
      <w:spacing w:after="0" w:line="240" w:lineRule="auto"/>
    </w:pPr>
    <w:rPr>
      <w:color w:val="062D6D" w:themeColor="accent1" w:themeShade="BF"/>
    </w:rPr>
    <w:tblPr>
      <w:tblStyleRowBandSize w:val="1"/>
      <w:tblStyleColBandSize w:val="1"/>
      <w:tblBorders>
        <w:top w:val="single" w:sz="8" w:space="0" w:color="093D93" w:themeColor="accent1"/>
        <w:bottom w:val="single" w:sz="8" w:space="0" w:color="093D9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93D93" w:themeColor="accent1"/>
          <w:left w:val="nil"/>
          <w:bottom w:val="single" w:sz="8" w:space="0" w:color="093D9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93D93" w:themeColor="accent1"/>
          <w:left w:val="nil"/>
          <w:bottom w:val="single" w:sz="8" w:space="0" w:color="093D9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C9F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C9FA" w:themeFill="accent1" w:themeFillTint="3F"/>
      </w:tcPr>
    </w:tblStylePr>
  </w:style>
  <w:style w:type="table" w:styleId="Svtlstnovn">
    <w:name w:val="Light Shading"/>
    <w:basedOn w:val="Normlntabulka"/>
    <w:uiPriority w:val="60"/>
    <w:rsid w:val="00C96D6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eznamzvraznn1">
    <w:name w:val="Light List Accent 1"/>
    <w:basedOn w:val="Normlntabulka"/>
    <w:uiPriority w:val="61"/>
    <w:rsid w:val="00C96D6F"/>
    <w:pPr>
      <w:spacing w:after="0" w:line="240" w:lineRule="auto"/>
    </w:pPr>
    <w:tblPr>
      <w:tblStyleRowBandSize w:val="1"/>
      <w:tblStyleColBandSize w:val="1"/>
      <w:tblBorders>
        <w:top w:val="single" w:sz="8" w:space="0" w:color="093D93" w:themeColor="accent1"/>
        <w:left w:val="single" w:sz="8" w:space="0" w:color="093D93" w:themeColor="accent1"/>
        <w:bottom w:val="single" w:sz="8" w:space="0" w:color="093D93" w:themeColor="accent1"/>
        <w:right w:val="single" w:sz="8" w:space="0" w:color="093D9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93D9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93D93" w:themeColor="accent1"/>
          <w:left w:val="single" w:sz="8" w:space="0" w:color="093D93" w:themeColor="accent1"/>
          <w:bottom w:val="single" w:sz="8" w:space="0" w:color="093D93" w:themeColor="accent1"/>
          <w:right w:val="single" w:sz="8" w:space="0" w:color="093D9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93D93" w:themeColor="accent1"/>
          <w:left w:val="single" w:sz="8" w:space="0" w:color="093D93" w:themeColor="accent1"/>
          <w:bottom w:val="single" w:sz="8" w:space="0" w:color="093D93" w:themeColor="accent1"/>
          <w:right w:val="single" w:sz="8" w:space="0" w:color="093D93" w:themeColor="accent1"/>
        </w:tcBorders>
      </w:tcPr>
    </w:tblStylePr>
    <w:tblStylePr w:type="band1Horz">
      <w:tblPr/>
      <w:tcPr>
        <w:tcBorders>
          <w:top w:val="single" w:sz="8" w:space="0" w:color="093D93" w:themeColor="accent1"/>
          <w:left w:val="single" w:sz="8" w:space="0" w:color="093D93" w:themeColor="accent1"/>
          <w:bottom w:val="single" w:sz="8" w:space="0" w:color="093D93" w:themeColor="accent1"/>
          <w:right w:val="single" w:sz="8" w:space="0" w:color="093D93" w:themeColor="accent1"/>
        </w:tcBorders>
      </w:tcPr>
    </w:tblStylePr>
  </w:style>
  <w:style w:type="table" w:styleId="Svtlmkazvraznn1">
    <w:name w:val="Light Grid Accent 1"/>
    <w:basedOn w:val="Normlntabulka"/>
    <w:uiPriority w:val="62"/>
    <w:rsid w:val="00C96D6F"/>
    <w:pPr>
      <w:spacing w:after="0" w:line="240" w:lineRule="auto"/>
    </w:pPr>
    <w:tblPr>
      <w:tblStyleRowBandSize w:val="1"/>
      <w:tblStyleColBandSize w:val="1"/>
      <w:tblBorders>
        <w:top w:val="single" w:sz="8" w:space="0" w:color="093D93" w:themeColor="accent1"/>
        <w:left w:val="single" w:sz="8" w:space="0" w:color="093D93" w:themeColor="accent1"/>
        <w:bottom w:val="single" w:sz="8" w:space="0" w:color="093D93" w:themeColor="accent1"/>
        <w:right w:val="single" w:sz="8" w:space="0" w:color="093D93" w:themeColor="accent1"/>
        <w:insideH w:val="single" w:sz="8" w:space="0" w:color="093D93" w:themeColor="accent1"/>
        <w:insideV w:val="single" w:sz="8" w:space="0" w:color="093D9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93D93" w:themeColor="accent1"/>
          <w:left w:val="single" w:sz="8" w:space="0" w:color="093D93" w:themeColor="accent1"/>
          <w:bottom w:val="single" w:sz="18" w:space="0" w:color="093D93" w:themeColor="accent1"/>
          <w:right w:val="single" w:sz="8" w:space="0" w:color="093D93" w:themeColor="accent1"/>
          <w:insideH w:val="nil"/>
          <w:insideV w:val="single" w:sz="8" w:space="0" w:color="093D9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93D93" w:themeColor="accent1"/>
          <w:left w:val="single" w:sz="8" w:space="0" w:color="093D93" w:themeColor="accent1"/>
          <w:bottom w:val="single" w:sz="8" w:space="0" w:color="093D93" w:themeColor="accent1"/>
          <w:right w:val="single" w:sz="8" w:space="0" w:color="093D93" w:themeColor="accent1"/>
          <w:insideH w:val="nil"/>
          <w:insideV w:val="single" w:sz="8" w:space="0" w:color="093D9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93D93" w:themeColor="accent1"/>
          <w:left w:val="single" w:sz="8" w:space="0" w:color="093D93" w:themeColor="accent1"/>
          <w:bottom w:val="single" w:sz="8" w:space="0" w:color="093D93" w:themeColor="accent1"/>
          <w:right w:val="single" w:sz="8" w:space="0" w:color="093D93" w:themeColor="accent1"/>
        </w:tcBorders>
      </w:tcPr>
    </w:tblStylePr>
    <w:tblStylePr w:type="band1Vert">
      <w:tblPr/>
      <w:tcPr>
        <w:tcBorders>
          <w:top w:val="single" w:sz="8" w:space="0" w:color="093D93" w:themeColor="accent1"/>
          <w:left w:val="single" w:sz="8" w:space="0" w:color="093D93" w:themeColor="accent1"/>
          <w:bottom w:val="single" w:sz="8" w:space="0" w:color="093D93" w:themeColor="accent1"/>
          <w:right w:val="single" w:sz="8" w:space="0" w:color="093D93" w:themeColor="accent1"/>
        </w:tcBorders>
        <w:shd w:val="clear" w:color="auto" w:fill="ACC9FA" w:themeFill="accent1" w:themeFillTint="3F"/>
      </w:tcPr>
    </w:tblStylePr>
    <w:tblStylePr w:type="band1Horz">
      <w:tblPr/>
      <w:tcPr>
        <w:tcBorders>
          <w:top w:val="single" w:sz="8" w:space="0" w:color="093D93" w:themeColor="accent1"/>
          <w:left w:val="single" w:sz="8" w:space="0" w:color="093D93" w:themeColor="accent1"/>
          <w:bottom w:val="single" w:sz="8" w:space="0" w:color="093D93" w:themeColor="accent1"/>
          <w:right w:val="single" w:sz="8" w:space="0" w:color="093D93" w:themeColor="accent1"/>
          <w:insideV w:val="single" w:sz="8" w:space="0" w:color="093D93" w:themeColor="accent1"/>
        </w:tcBorders>
        <w:shd w:val="clear" w:color="auto" w:fill="ACC9FA" w:themeFill="accent1" w:themeFillTint="3F"/>
      </w:tcPr>
    </w:tblStylePr>
    <w:tblStylePr w:type="band2Horz">
      <w:tblPr/>
      <w:tcPr>
        <w:tcBorders>
          <w:top w:val="single" w:sz="8" w:space="0" w:color="093D93" w:themeColor="accent1"/>
          <w:left w:val="single" w:sz="8" w:space="0" w:color="093D93" w:themeColor="accent1"/>
          <w:bottom w:val="single" w:sz="8" w:space="0" w:color="093D93" w:themeColor="accent1"/>
          <w:right w:val="single" w:sz="8" w:space="0" w:color="093D93" w:themeColor="accent1"/>
          <w:insideV w:val="single" w:sz="8" w:space="0" w:color="093D93" w:themeColor="accent1"/>
        </w:tcBorders>
      </w:tcPr>
    </w:tblStylePr>
  </w:style>
  <w:style w:type="character" w:styleId="Nzevknihy">
    <w:name w:val="Book Title"/>
    <w:basedOn w:val="Standardnpsmoodstavce"/>
    <w:uiPriority w:val="33"/>
    <w:rsid w:val="003906A2"/>
    <w:rPr>
      <w:b/>
      <w:bCs/>
      <w:smallCaps/>
      <w:spacing w:val="5"/>
    </w:rPr>
  </w:style>
  <w:style w:type="paragraph" w:styleId="Nadpisobsahu">
    <w:name w:val="TOC Heading"/>
    <w:aliases w:val="Nadpis nečíslovaných kapitol"/>
    <w:basedOn w:val="Nadpis1"/>
    <w:next w:val="Normln"/>
    <w:uiPriority w:val="39"/>
    <w:unhideWhenUsed/>
    <w:qFormat/>
    <w:rsid w:val="008240B8"/>
    <w:pPr>
      <w:numPr>
        <w:numId w:val="0"/>
      </w:numPr>
      <w:outlineLvl w:val="9"/>
    </w:pPr>
    <w:rPr>
      <w:rFonts w:ascii="Segoe UI" w:hAnsi="Segoe UI"/>
    </w:rPr>
  </w:style>
  <w:style w:type="paragraph" w:styleId="Obsah1">
    <w:name w:val="toc 1"/>
    <w:basedOn w:val="Normln"/>
    <w:next w:val="Normln"/>
    <w:autoRedefine/>
    <w:uiPriority w:val="39"/>
    <w:unhideWhenUsed/>
    <w:rsid w:val="007B5A7B"/>
    <w:pPr>
      <w:tabs>
        <w:tab w:val="left" w:pos="426"/>
        <w:tab w:val="right" w:leader="dot" w:pos="9060"/>
      </w:tabs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7B5A7B"/>
    <w:pPr>
      <w:tabs>
        <w:tab w:val="right" w:leader="dot" w:pos="9060"/>
      </w:tabs>
      <w:spacing w:after="100"/>
      <w:ind w:left="426"/>
    </w:pPr>
  </w:style>
  <w:style w:type="paragraph" w:styleId="Obsah3">
    <w:name w:val="toc 3"/>
    <w:basedOn w:val="Normln"/>
    <w:next w:val="Normln"/>
    <w:autoRedefine/>
    <w:uiPriority w:val="39"/>
    <w:unhideWhenUsed/>
    <w:rsid w:val="004C31CD"/>
    <w:pPr>
      <w:tabs>
        <w:tab w:val="left" w:pos="426"/>
        <w:tab w:val="right" w:leader="dot" w:pos="9060"/>
      </w:tabs>
      <w:spacing w:after="100"/>
      <w:ind w:left="851"/>
    </w:pPr>
  </w:style>
  <w:style w:type="character" w:styleId="Hypertextovodkaz">
    <w:name w:val="Hyperlink"/>
    <w:basedOn w:val="Standardnpsmoodstavce"/>
    <w:uiPriority w:val="99"/>
    <w:unhideWhenUsed/>
    <w:rsid w:val="00E769C1"/>
    <w:rPr>
      <w:color w:val="009DEA" w:themeColor="hyperlink"/>
      <w:u w:val="single"/>
    </w:rPr>
  </w:style>
  <w:style w:type="paragraph" w:styleId="Seznamobrzk">
    <w:name w:val="table of figures"/>
    <w:basedOn w:val="Normln"/>
    <w:next w:val="Normln"/>
    <w:uiPriority w:val="99"/>
    <w:unhideWhenUsed/>
    <w:rsid w:val="00E769C1"/>
    <w:pPr>
      <w:spacing w:after="0"/>
    </w:pPr>
  </w:style>
  <w:style w:type="table" w:styleId="Svtlseznamzvraznn2">
    <w:name w:val="Light List Accent 2"/>
    <w:basedOn w:val="Normlntabulka"/>
    <w:uiPriority w:val="61"/>
    <w:rsid w:val="005911C1"/>
    <w:pPr>
      <w:spacing w:after="0" w:line="240" w:lineRule="auto"/>
    </w:pPr>
    <w:tblPr>
      <w:tblStyleRowBandSize w:val="1"/>
      <w:tblStyleColBandSize w:val="1"/>
      <w:tblBorders>
        <w:top w:val="single" w:sz="8" w:space="0" w:color="2DB9FF" w:themeColor="accent2"/>
        <w:left w:val="single" w:sz="8" w:space="0" w:color="2DB9FF" w:themeColor="accent2"/>
        <w:bottom w:val="single" w:sz="8" w:space="0" w:color="2DB9FF" w:themeColor="accent2"/>
        <w:right w:val="single" w:sz="8" w:space="0" w:color="2DB9F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DB9F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B9FF" w:themeColor="accent2"/>
          <w:left w:val="single" w:sz="8" w:space="0" w:color="2DB9FF" w:themeColor="accent2"/>
          <w:bottom w:val="single" w:sz="8" w:space="0" w:color="2DB9FF" w:themeColor="accent2"/>
          <w:right w:val="single" w:sz="8" w:space="0" w:color="2DB9F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DB9FF" w:themeColor="accent2"/>
          <w:left w:val="single" w:sz="8" w:space="0" w:color="2DB9FF" w:themeColor="accent2"/>
          <w:bottom w:val="single" w:sz="8" w:space="0" w:color="2DB9FF" w:themeColor="accent2"/>
          <w:right w:val="single" w:sz="8" w:space="0" w:color="2DB9FF" w:themeColor="accent2"/>
        </w:tcBorders>
      </w:tcPr>
    </w:tblStylePr>
    <w:tblStylePr w:type="band1Horz">
      <w:tblPr/>
      <w:tcPr>
        <w:tcBorders>
          <w:top w:val="single" w:sz="8" w:space="0" w:color="2DB9FF" w:themeColor="accent2"/>
          <w:left w:val="single" w:sz="8" w:space="0" w:color="2DB9FF" w:themeColor="accent2"/>
          <w:bottom w:val="single" w:sz="8" w:space="0" w:color="2DB9FF" w:themeColor="accent2"/>
          <w:right w:val="single" w:sz="8" w:space="0" w:color="2DB9FF" w:themeColor="accent2"/>
        </w:tcBorders>
      </w:tcPr>
    </w:tblStylePr>
  </w:style>
  <w:style w:type="table" w:styleId="Svtlstnovnzvraznn2">
    <w:name w:val="Light Shading Accent 2"/>
    <w:basedOn w:val="Normlntabulka"/>
    <w:uiPriority w:val="60"/>
    <w:rsid w:val="00CB7EAD"/>
    <w:pPr>
      <w:spacing w:after="0" w:line="240" w:lineRule="auto"/>
    </w:pPr>
    <w:rPr>
      <w:color w:val="0095E0" w:themeColor="accent2" w:themeShade="BF"/>
    </w:rPr>
    <w:tblPr>
      <w:tblStyleRowBandSize w:val="1"/>
      <w:tblStyleColBandSize w:val="1"/>
      <w:tblBorders>
        <w:top w:val="single" w:sz="8" w:space="0" w:color="2DB9FF" w:themeColor="accent2"/>
        <w:bottom w:val="single" w:sz="8" w:space="0" w:color="2DB9F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B9FF" w:themeColor="accent2"/>
          <w:left w:val="nil"/>
          <w:bottom w:val="single" w:sz="8" w:space="0" w:color="2DB9F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B9FF" w:themeColor="accent2"/>
          <w:left w:val="nil"/>
          <w:bottom w:val="single" w:sz="8" w:space="0" w:color="2DB9F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D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EDFF" w:themeFill="accent2" w:themeFillTint="3F"/>
      </w:tcPr>
    </w:tblStylePr>
  </w:style>
  <w:style w:type="character" w:customStyle="1" w:styleId="Nadpis2Char">
    <w:name w:val="Nadpis 2 Char"/>
    <w:basedOn w:val="Standardnpsmoodstavce"/>
    <w:link w:val="Nadpis2"/>
    <w:uiPriority w:val="9"/>
    <w:rsid w:val="00817955"/>
    <w:rPr>
      <w:rFonts w:eastAsiaTheme="majorEastAsia" w:cs="Segoe UI"/>
      <w:color w:val="093D93" w:themeColor="accent1"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906A2"/>
    <w:rPr>
      <w:rFonts w:asciiTheme="majorHAnsi" w:eastAsiaTheme="majorEastAsia" w:hAnsiTheme="majorHAnsi" w:cstheme="majorBidi"/>
      <w:color w:val="041E49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906A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906A2"/>
    <w:rPr>
      <w:rFonts w:asciiTheme="majorHAnsi" w:eastAsiaTheme="majorEastAsia" w:hAnsiTheme="majorHAnsi" w:cstheme="majorBidi"/>
      <w:color w:val="093D93" w:themeColor="accent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906A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zev">
    <w:name w:val="Title"/>
    <w:aliases w:val="Název dokumentu"/>
    <w:basedOn w:val="47Nzevdokumentu"/>
    <w:next w:val="Normln"/>
    <w:link w:val="NzevChar"/>
    <w:uiPriority w:val="10"/>
    <w:qFormat/>
    <w:rsid w:val="00806AEF"/>
    <w:pPr>
      <w:numPr>
        <w:numId w:val="0"/>
      </w:numPr>
      <w:spacing w:before="240"/>
    </w:pPr>
    <w:rPr>
      <w:rFonts w:ascii="Segoe UI Semibold" w:hAnsi="Segoe UI Semibold"/>
    </w:rPr>
  </w:style>
  <w:style w:type="character" w:customStyle="1" w:styleId="NzevChar">
    <w:name w:val="Název Char"/>
    <w:aliases w:val="Název dokumentu Char"/>
    <w:basedOn w:val="Standardnpsmoodstavce"/>
    <w:link w:val="Nzev"/>
    <w:uiPriority w:val="10"/>
    <w:rsid w:val="00806AEF"/>
    <w:rPr>
      <w:rFonts w:eastAsiaTheme="majorEastAsia" w:cs="Arial"/>
      <w:color w:val="002060"/>
      <w:sz w:val="36"/>
      <w:szCs w:val="24"/>
      <w:lang w:eastAsia="cs-CZ"/>
    </w:rPr>
  </w:style>
  <w:style w:type="paragraph" w:styleId="Podtitul">
    <w:name w:val="Subtitle"/>
    <w:basedOn w:val="Nadpisobsahu"/>
    <w:next w:val="Normln"/>
    <w:link w:val="PodtitulChar"/>
    <w:uiPriority w:val="11"/>
    <w:qFormat/>
    <w:rsid w:val="00E93184"/>
    <w:pPr>
      <w:pageBreakBefore w:val="0"/>
    </w:pPr>
  </w:style>
  <w:style w:type="character" w:customStyle="1" w:styleId="PodtitulChar">
    <w:name w:val="Podtitul Char"/>
    <w:basedOn w:val="Standardnpsmoodstavce"/>
    <w:link w:val="Podtitul"/>
    <w:uiPriority w:val="11"/>
    <w:rsid w:val="00E93184"/>
    <w:rPr>
      <w:rFonts w:ascii="Segoe UI" w:eastAsiaTheme="majorEastAsia" w:hAnsi="Segoe UI" w:cs="Segoe UI"/>
      <w:bCs/>
      <w:color w:val="093D93" w:themeColor="accent1"/>
      <w:sz w:val="32"/>
      <w:szCs w:val="28"/>
      <w:lang w:eastAsia="cs-CZ"/>
    </w:rPr>
  </w:style>
  <w:style w:type="character" w:styleId="Siln">
    <w:name w:val="Strong"/>
    <w:aliases w:val="Tučné"/>
    <w:basedOn w:val="Standardnpsmoodstavce"/>
    <w:uiPriority w:val="22"/>
    <w:qFormat/>
    <w:rsid w:val="003906A2"/>
    <w:rPr>
      <w:b/>
      <w:bCs/>
    </w:rPr>
  </w:style>
  <w:style w:type="character" w:styleId="Zvraznn">
    <w:name w:val="Emphasis"/>
    <w:basedOn w:val="Standardnpsmoodstavce"/>
    <w:uiPriority w:val="20"/>
    <w:rsid w:val="003906A2"/>
    <w:rPr>
      <w:i/>
      <w:iCs/>
    </w:rPr>
  </w:style>
  <w:style w:type="paragraph" w:styleId="Bezmezer">
    <w:name w:val="No Spacing"/>
    <w:link w:val="BezmezerChar"/>
    <w:uiPriority w:val="1"/>
    <w:rsid w:val="003906A2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3906A2"/>
  </w:style>
  <w:style w:type="paragraph" w:styleId="Citt">
    <w:name w:val="Quote"/>
    <w:basedOn w:val="Normln"/>
    <w:next w:val="Normln"/>
    <w:link w:val="CittChar"/>
    <w:uiPriority w:val="29"/>
    <w:rsid w:val="003906A2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3906A2"/>
    <w:rPr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rsid w:val="003906A2"/>
    <w:pPr>
      <w:pBdr>
        <w:bottom w:val="single" w:sz="4" w:space="4" w:color="093D93" w:themeColor="accent1"/>
      </w:pBdr>
      <w:spacing w:before="200" w:after="280"/>
      <w:ind w:left="936" w:right="936"/>
    </w:pPr>
    <w:rPr>
      <w:b/>
      <w:bCs/>
      <w:i/>
      <w:iCs/>
      <w:color w:val="093D93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906A2"/>
    <w:rPr>
      <w:b/>
      <w:bCs/>
      <w:i/>
      <w:iCs/>
      <w:color w:val="093D93" w:themeColor="accent1"/>
    </w:rPr>
  </w:style>
  <w:style w:type="character" w:styleId="Zdraznnjemn">
    <w:name w:val="Subtle Emphasis"/>
    <w:basedOn w:val="Standardnpsmoodstavce"/>
    <w:uiPriority w:val="19"/>
    <w:rsid w:val="003906A2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rsid w:val="003906A2"/>
    <w:rPr>
      <w:b/>
      <w:bCs/>
      <w:i/>
      <w:iCs/>
      <w:color w:val="093D93" w:themeColor="accent1"/>
    </w:rPr>
  </w:style>
  <w:style w:type="character" w:styleId="Odkazjemn">
    <w:name w:val="Subtle Reference"/>
    <w:basedOn w:val="Standardnpsmoodstavce"/>
    <w:uiPriority w:val="31"/>
    <w:rsid w:val="003906A2"/>
    <w:rPr>
      <w:smallCaps/>
      <w:color w:val="2DB9FF" w:themeColor="accent2"/>
      <w:u w:val="single"/>
    </w:rPr>
  </w:style>
  <w:style w:type="character" w:styleId="Odkazintenzivn">
    <w:name w:val="Intense Reference"/>
    <w:aliases w:val="Odkaz"/>
    <w:basedOn w:val="Standardnpsmoodstavce"/>
    <w:uiPriority w:val="32"/>
    <w:qFormat/>
    <w:rsid w:val="008700BC"/>
    <w:rPr>
      <w:b w:val="0"/>
      <w:bCs/>
      <w:smallCaps/>
      <w:color w:val="2DB9FF" w:themeColor="accent2"/>
      <w:spacing w:val="5"/>
      <w:u w:val="single"/>
    </w:rPr>
  </w:style>
  <w:style w:type="table" w:styleId="Barevnseznamzvraznn2">
    <w:name w:val="Colorful List Accent 2"/>
    <w:basedOn w:val="Normlntabulka"/>
    <w:uiPriority w:val="72"/>
    <w:rsid w:val="003906A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F8F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A0F0" w:themeFill="accent2" w:themeFillShade="CC"/>
      </w:tcPr>
    </w:tblStylePr>
    <w:tblStylePr w:type="lastRow">
      <w:rPr>
        <w:b/>
        <w:bCs/>
        <w:color w:val="00A0F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EDFF" w:themeFill="accent2" w:themeFillTint="3F"/>
      </w:tcPr>
    </w:tblStylePr>
    <w:tblStylePr w:type="band1Horz">
      <w:tblPr/>
      <w:tcPr>
        <w:shd w:val="clear" w:color="auto" w:fill="D5F1FF" w:themeFill="accent2" w:themeFillTint="33"/>
      </w:tcPr>
    </w:tblStylePr>
  </w:style>
  <w:style w:type="table" w:styleId="Barevnseznam">
    <w:name w:val="Colorful List"/>
    <w:basedOn w:val="Normlntabulka"/>
    <w:uiPriority w:val="72"/>
    <w:rsid w:val="003906A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A0F0" w:themeFill="accent2" w:themeFillShade="CC"/>
      </w:tcPr>
    </w:tblStylePr>
    <w:tblStylePr w:type="lastRow">
      <w:rPr>
        <w:b/>
        <w:bCs/>
        <w:color w:val="00A0F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ulka">
    <w:name w:val="Tabulka"/>
    <w:basedOn w:val="Normln"/>
    <w:qFormat/>
    <w:rsid w:val="009D4C3D"/>
    <w:pPr>
      <w:keepLines/>
      <w:spacing w:before="100" w:beforeAutospacing="1" w:after="100" w:afterAutospacing="1"/>
      <w:ind w:left="113" w:right="113"/>
      <w:jc w:val="left"/>
    </w:pPr>
    <w:rPr>
      <w:rFonts w:eastAsia="Times New Roman"/>
      <w:sz w:val="16"/>
      <w:szCs w:val="16"/>
      <w:lang w:val="en-US" w:eastAsia="cs-CZ"/>
    </w:rPr>
  </w:style>
  <w:style w:type="paragraph" w:customStyle="1" w:styleId="Tituleksrou">
    <w:name w:val="Titulek s čárou"/>
    <w:basedOn w:val="Titulek"/>
    <w:qFormat/>
    <w:rsid w:val="004840A9"/>
    <w:pPr>
      <w:keepNext/>
      <w:pBdr>
        <w:top w:val="single" w:sz="24" w:space="1" w:color="E5E5E5" w:themeColor="text1" w:themeTint="1A"/>
      </w:pBdr>
    </w:pPr>
    <w:rPr>
      <w:sz w:val="20"/>
    </w:rPr>
  </w:style>
  <w:style w:type="paragraph" w:customStyle="1" w:styleId="Dleitodstavec">
    <w:name w:val="Důležitý odstavec"/>
    <w:basedOn w:val="Normln"/>
    <w:rsid w:val="00FF0221"/>
    <w:pPr>
      <w:spacing w:after="0"/>
    </w:pPr>
  </w:style>
  <w:style w:type="table" w:styleId="Barevnseznamzvraznn4">
    <w:name w:val="Colorful List Accent 4"/>
    <w:basedOn w:val="Normlntabulka"/>
    <w:uiPriority w:val="72"/>
    <w:rsid w:val="00FF0221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3EB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EEB00" w:themeFill="accent3" w:themeFillShade="CC"/>
      </w:tcPr>
    </w:tblStylePr>
    <w:tblStylePr w:type="lastRow">
      <w:rPr>
        <w:b/>
        <w:bCs/>
        <w:color w:val="FEEB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3CE" w:themeFill="accent4" w:themeFillTint="3F"/>
      </w:tcPr>
    </w:tblStylePr>
    <w:tblStylePr w:type="band1Horz">
      <w:tblPr/>
      <w:tcPr>
        <w:shd w:val="clear" w:color="auto" w:fill="FEE8D7" w:themeFill="accent4" w:themeFillTint="33"/>
      </w:tcPr>
    </w:tblStylePr>
  </w:style>
  <w:style w:type="table" w:customStyle="1" w:styleId="Dleitinformace">
    <w:name w:val="Důležitá informace"/>
    <w:basedOn w:val="Normlntabulka"/>
    <w:uiPriority w:val="99"/>
    <w:rsid w:val="008E74A9"/>
    <w:pPr>
      <w:spacing w:before="60" w:after="60" w:line="240" w:lineRule="auto"/>
      <w:ind w:left="170" w:right="170"/>
    </w:pPr>
    <w:rPr>
      <w:rFonts w:ascii="Arial" w:hAnsi="Arial"/>
    </w:rPr>
    <w:tblPr>
      <w:tblStyleRowBandSize w:val="1"/>
      <w:tblStyleColBandSize w:val="1"/>
      <w:tblCellMar>
        <w:top w:w="113" w:type="dxa"/>
        <w:bottom w:w="113" w:type="dxa"/>
      </w:tblCellMar>
    </w:tblPr>
    <w:tcPr>
      <w:shd w:val="clear" w:color="auto" w:fill="F2F2F2" w:themeFill="background1" w:themeFillShade="F2"/>
    </w:tcPr>
    <w:tblStylePr w:type="firstRow">
      <w:tblPr/>
      <w:tcPr>
        <w:tcBorders>
          <w:top w:val="nil"/>
          <w:left w:val="single" w:sz="24" w:space="0" w:color="2DB9FF" w:themeColor="accent2"/>
          <w:bottom w:val="nil"/>
          <w:right w:val="nil"/>
          <w:insideV w:val="nil"/>
        </w:tcBorders>
        <w:shd w:val="clear" w:color="auto" w:fill="2DB9FF" w:themeFill="accent2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2F2F2" w:themeFill="background1" w:themeFillShade="F2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2F2F2" w:themeFill="background1" w:themeFillShade="F2"/>
      </w:tc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2F2F2" w:themeFill="background1" w:themeFillShade="F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2F2F2" w:themeFill="background1" w:themeFillShade="F2"/>
      </w:tcPr>
    </w:tblStylePr>
    <w:tblStylePr w:type="band2Horz">
      <w:tblPr/>
      <w:tcPr>
        <w:tcBorders>
          <w:top w:val="single" w:sz="8" w:space="0" w:color="FFFFFF" w:themeColor="background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</w:style>
  <w:style w:type="table" w:customStyle="1" w:styleId="Tabulka47">
    <w:name w:val="Tabulka 47"/>
    <w:basedOn w:val="Normlntabulka"/>
    <w:uiPriority w:val="99"/>
    <w:rsid w:val="00027596"/>
    <w:pPr>
      <w:spacing w:before="100" w:beforeAutospacing="1" w:after="100" w:afterAutospacing="1" w:line="240" w:lineRule="auto"/>
      <w:ind w:left="57" w:right="57"/>
    </w:pPr>
    <w:rPr>
      <w:rFonts w:asciiTheme="minorHAnsi" w:hAnsiTheme="minorHAnsi"/>
      <w:sz w:val="16"/>
    </w:rPr>
    <w:tblPr>
      <w:tblStyleRowBandSize w:val="1"/>
      <w:tblStyleColBandSize w:val="1"/>
      <w:tblBorders>
        <w:bottom w:val="single" w:sz="24" w:space="0" w:color="2DB9FF" w:themeColor="accent2"/>
      </w:tblBorders>
    </w:tblPr>
    <w:tcPr>
      <w:vAlign w:val="center"/>
    </w:tcPr>
    <w:tblStylePr w:type="firstRow">
      <w:pPr>
        <w:wordWrap/>
        <w:spacing w:beforeLines="0" w:before="120" w:beforeAutospacing="0" w:afterLines="0" w:after="180" w:afterAutospacing="0"/>
        <w:contextualSpacing/>
        <w:mirrorIndents w:val="0"/>
        <w:jc w:val="left"/>
      </w:pPr>
      <w:rPr>
        <w:b/>
        <w:color w:val="FFFFFF" w:themeColor="background1"/>
        <w:sz w:val="16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DB9FF" w:themeFill="accent2"/>
      </w:tcPr>
    </w:tblStylePr>
    <w:tblStylePr w:type="lastRow">
      <w:rPr>
        <w:b/>
      </w:rPr>
      <w:tblPr/>
      <w:tcPr>
        <w:tcBorders>
          <w:top w:val="single" w:sz="24" w:space="0" w:color="2DB9FF" w:themeColor="accent2"/>
          <w:left w:val="nil"/>
          <w:bottom w:val="single" w:sz="24" w:space="0" w:color="2DB9FF" w:themeColor="accent2"/>
          <w:right w:val="nil"/>
          <w:insideH w:val="nil"/>
          <w:insideV w:val="nil"/>
          <w:tl2br w:val="nil"/>
          <w:tr2bl w:val="nil"/>
        </w:tcBorders>
        <w:shd w:val="clear" w:color="auto" w:fill="D5F1FF" w:themeFill="accent2" w:themeFillTint="33"/>
      </w:tcPr>
    </w:tblStylePr>
    <w:tblStylePr w:type="firstCol">
      <w:rPr>
        <w:b/>
        <w:color w:val="000000" w:themeColor="text1"/>
      </w:rPr>
      <w:tblPr/>
      <w:tcPr>
        <w:tcBorders>
          <w:right w:val="single" w:sz="8" w:space="0" w:color="DDDDDD" w:themeColor="text2" w:themeTint="33"/>
        </w:tcBorders>
        <w:shd w:val="clear" w:color="auto" w:fill="D5F1FF" w:themeFill="accent2" w:themeFillTint="33"/>
      </w:tcPr>
    </w:tblStylePr>
    <w:tblStylePr w:type="lastCol">
      <w:tblPr/>
      <w:tcPr>
        <w:tcBorders>
          <w:left w:val="single" w:sz="8" w:space="0" w:color="E5E5E5" w:themeColor="text1" w:themeTint="1A"/>
        </w:tcBorders>
        <w:shd w:val="clear" w:color="auto" w:fill="D5F1FF" w:themeFill="accent2" w:themeFillTint="33"/>
      </w:tcPr>
    </w:tblStylePr>
    <w:tblStylePr w:type="band1Vert">
      <w:tblPr/>
      <w:tcPr>
        <w:tcBorders>
          <w:top w:val="nil"/>
          <w:left w:val="nil"/>
          <w:bottom w:val="single" w:sz="24" w:space="0" w:color="2DB9FF" w:themeColor="accent2"/>
          <w:right w:val="nil"/>
          <w:insideH w:val="nil"/>
          <w:insideV w:val="nil"/>
          <w:tl2br w:val="nil"/>
          <w:tr2bl w:val="nil"/>
        </w:tcBorders>
        <w:shd w:val="clear" w:color="auto" w:fill="E5E5E5" w:themeFill="background2" w:themeFillShade="F2"/>
      </w:tcPr>
    </w:tblStylePr>
    <w:tblStylePr w:type="band1Horz">
      <w:rPr>
        <w:color w:val="auto"/>
      </w:rPr>
      <w:tblPr/>
      <w:tcPr>
        <w:shd w:val="clear" w:color="auto" w:fill="F2F2F2" w:themeFill="background1" w:themeFillShade="F2"/>
      </w:tcPr>
    </w:tblStylePr>
  </w:style>
  <w:style w:type="paragraph" w:customStyle="1" w:styleId="Titulka-spolenost">
    <w:name w:val="Titulka - společnost"/>
    <w:basedOn w:val="Normln"/>
    <w:rsid w:val="00806AEF"/>
    <w:pPr>
      <w:spacing w:after="0"/>
      <w:jc w:val="center"/>
    </w:pPr>
    <w:rPr>
      <w:rFonts w:ascii="Arial" w:eastAsiaTheme="minorHAnsi" w:hAnsi="Arial" w:cstheme="minorBidi"/>
      <w:b/>
      <w:sz w:val="40"/>
      <w:szCs w:val="22"/>
    </w:rPr>
  </w:style>
  <w:style w:type="paragraph" w:customStyle="1" w:styleId="Titulka-Pedmt">
    <w:name w:val="Titulka - Předmět"/>
    <w:basedOn w:val="Normln"/>
    <w:rsid w:val="00806AEF"/>
    <w:pPr>
      <w:spacing w:after="0"/>
    </w:pPr>
    <w:rPr>
      <w:rFonts w:ascii="Arial" w:eastAsiaTheme="minorHAnsi" w:hAnsi="Arial" w:cstheme="minorBidi"/>
      <w:b/>
      <w:color w:val="093D93" w:themeColor="accent1"/>
      <w:sz w:val="40"/>
      <w:szCs w:val="40"/>
    </w:rPr>
  </w:style>
  <w:style w:type="paragraph" w:customStyle="1" w:styleId="Titulka-Nzev">
    <w:name w:val="Titulka - Název"/>
    <w:basedOn w:val="Normln"/>
    <w:rsid w:val="00806AEF"/>
    <w:pPr>
      <w:spacing w:after="0"/>
      <w:jc w:val="left"/>
    </w:pPr>
    <w:rPr>
      <w:rFonts w:ascii="Arial" w:eastAsiaTheme="minorHAnsi" w:hAnsi="Arial" w:cstheme="minorBidi"/>
      <w:b/>
      <w:sz w:val="40"/>
      <w:szCs w:val="40"/>
    </w:rPr>
  </w:style>
  <w:style w:type="paragraph" w:customStyle="1" w:styleId="Titulka-Pedmt2">
    <w:name w:val="Titulka -  Předmět 2"/>
    <w:basedOn w:val="Normln"/>
    <w:rsid w:val="00806AEF"/>
    <w:pPr>
      <w:spacing w:after="0"/>
    </w:pPr>
    <w:rPr>
      <w:rFonts w:ascii="Arial" w:eastAsiaTheme="minorHAnsi" w:hAnsi="Arial" w:cstheme="minorBidi"/>
      <w:color w:val="093D93" w:themeColor="accent1"/>
      <w:sz w:val="36"/>
      <w:szCs w:val="36"/>
    </w:rPr>
  </w:style>
  <w:style w:type="paragraph" w:customStyle="1" w:styleId="slovn">
    <w:name w:val="Číslování"/>
    <w:basedOn w:val="Normln"/>
    <w:qFormat/>
    <w:rsid w:val="00806AEF"/>
    <w:pPr>
      <w:numPr>
        <w:numId w:val="5"/>
      </w:numPr>
    </w:pPr>
    <w:rPr>
      <w:rFonts w:ascii="Arial" w:eastAsia="Times New Roman" w:hAnsi="Arial" w:cs="Arial"/>
      <w:lang w:eastAsia="cs-CZ"/>
    </w:rPr>
  </w:style>
  <w:style w:type="paragraph" w:customStyle="1" w:styleId="Odrky">
    <w:name w:val="Odrážky"/>
    <w:basedOn w:val="Normln"/>
    <w:qFormat/>
    <w:rsid w:val="00806AEF"/>
    <w:pPr>
      <w:numPr>
        <w:numId w:val="6"/>
      </w:numPr>
    </w:pPr>
    <w:rPr>
      <w:rFonts w:ascii="Arial" w:eastAsia="Times New Roman" w:hAnsi="Arial" w:cs="Arial"/>
      <w:lang w:eastAsia="cs-CZ"/>
    </w:rPr>
  </w:style>
  <w:style w:type="paragraph" w:customStyle="1" w:styleId="Nzevzjitn">
    <w:name w:val="Název zjištění"/>
    <w:basedOn w:val="Normln"/>
    <w:next w:val="Normln"/>
    <w:qFormat/>
    <w:rsid w:val="00806AEF"/>
    <w:pPr>
      <w:jc w:val="left"/>
    </w:pPr>
    <w:rPr>
      <w:rFonts w:ascii="Arial" w:eastAsiaTheme="minorHAnsi" w:hAnsi="Arial" w:cstheme="minorBidi"/>
      <w:b/>
      <w:szCs w:val="22"/>
    </w:rPr>
  </w:style>
  <w:style w:type="paragraph" w:styleId="Normlnweb">
    <w:name w:val="Normal (Web)"/>
    <w:basedOn w:val="Normln"/>
    <w:uiPriority w:val="99"/>
    <w:rsid w:val="00806AE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806A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character" w:styleId="Zstupntext">
    <w:name w:val="Placeholder Text"/>
    <w:basedOn w:val="Standardnpsmoodstavce"/>
    <w:uiPriority w:val="99"/>
    <w:semiHidden/>
    <w:rsid w:val="00806AEF"/>
    <w:rPr>
      <w:color w:val="808080"/>
    </w:rPr>
  </w:style>
  <w:style w:type="character" w:customStyle="1" w:styleId="st">
    <w:name w:val="st"/>
    <w:basedOn w:val="Standardnpsmoodstavce"/>
    <w:rsid w:val="005433DF"/>
  </w:style>
  <w:style w:type="character" w:styleId="Sledovanodkaz">
    <w:name w:val="FollowedHyperlink"/>
    <w:basedOn w:val="Standardnpsmoodstavce"/>
    <w:uiPriority w:val="99"/>
    <w:semiHidden/>
    <w:unhideWhenUsed/>
    <w:rsid w:val="00B5133C"/>
    <w:rPr>
      <w:color w:val="A5A5A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ris.bka.gv.at/GeltendeFassung.wxe?Abfrage=Bundesnormen&amp;Gesetzesnummer=20004547" TargetMode="External"/><Relationship Id="rId18" Type="http://schemas.openxmlformats.org/officeDocument/2006/relationships/hyperlink" Target="https://ccs.cabinetoffice.gov.uk/" TargetMode="External"/><Relationship Id="rId26" Type="http://schemas.openxmlformats.org/officeDocument/2006/relationships/hyperlink" Target="http://www.kdb.bund.de/KdB/DE/Startseite/home_node.html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dfpni.gov.uk/cpd" TargetMode="External"/><Relationship Id="rId34" Type="http://schemas.openxmlformats.org/officeDocument/2006/relationships/hyperlink" Target="https://www.marches-publics.gouv.fr/?page=entreprise.EntrepriseHome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bbg.gv.at/kunden/beratung/vergabekompetenz-center/gesetze-verordnungen/bestimmungen-zur-bbg/" TargetMode="External"/><Relationship Id="rId17" Type="http://schemas.openxmlformats.org/officeDocument/2006/relationships/hyperlink" Target="https://www.wko.at/Content.Node/Service/Wirtschaftsrecht-und-Gewerberecht/Vergaberecht/Vergabeverfahren/Wahl-der-Vergabeverfahren.html" TargetMode="External"/><Relationship Id="rId25" Type="http://schemas.openxmlformats.org/officeDocument/2006/relationships/hyperlink" Target="http://eur-lex.europa.eu/legal-content/CS/TXT/?uri=CELEX:32013R1336" TargetMode="External"/><Relationship Id="rId33" Type="http://schemas.openxmlformats.org/officeDocument/2006/relationships/hyperlink" Target="http://www.economie.gouv.fr/sae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bbg.gv.at/publikationen/corporate-governance/" TargetMode="External"/><Relationship Id="rId20" Type="http://schemas.openxmlformats.org/officeDocument/2006/relationships/hyperlink" Target="http://www.dfpni.gov.uk/cpd" TargetMode="External"/><Relationship Id="rId29" Type="http://schemas.openxmlformats.org/officeDocument/2006/relationships/hyperlink" Target="http://www.bmwi.de/DE/Themen/Wirtschaft/Wettbewerbspolitik/oeffentliche-auftraege,did=190874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bg.gv.at/kunden/beratung/vergabekompetenz-center/gesetze-verordnungen/bestimmungen-zur-bbg/" TargetMode="External"/><Relationship Id="rId24" Type="http://schemas.openxmlformats.org/officeDocument/2006/relationships/hyperlink" Target="http://www.legislation.gov.uk/ukpga/1973/63" TargetMode="External"/><Relationship Id="rId32" Type="http://schemas.openxmlformats.org/officeDocument/2006/relationships/hyperlink" Target="http://www.legifrance.gouv.fr/affichTexte.do?cidTexte=JORFTEXT000000501511" TargetMode="External"/><Relationship Id="rId37" Type="http://schemas.openxmlformats.org/officeDocument/2006/relationships/hyperlink" Target="https://www.acquistinretepa.it/opencms/opencms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bbg.gv.at/fileadmin/daten/Downloads/T%C3%A4tigkeitsbericht/TB2013_web_download.pdf" TargetMode="External"/><Relationship Id="rId23" Type="http://schemas.openxmlformats.org/officeDocument/2006/relationships/hyperlink" Target="http://www.legislation.gov.uk/uksi/2006/5/contents/made" TargetMode="External"/><Relationship Id="rId28" Type="http://schemas.openxmlformats.org/officeDocument/2006/relationships/hyperlink" Target="http://www.evergabe-online.info/e-Vergabe/DE/Home/homepage_node.html" TargetMode="External"/><Relationship Id="rId36" Type="http://schemas.openxmlformats.org/officeDocument/2006/relationships/hyperlink" Target="http://www.consip.it/index.html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www.gov.uk/government/organisations/crown-commercial-service" TargetMode="External"/><Relationship Id="rId31" Type="http://schemas.openxmlformats.org/officeDocument/2006/relationships/hyperlink" Target="http://www.ugap.fr/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www.bbg.gv.at/" TargetMode="External"/><Relationship Id="rId22" Type="http://schemas.openxmlformats.org/officeDocument/2006/relationships/hyperlink" Target="http://wales.gov.uk/topics/improvingservices/bettervfm/?lang=en" TargetMode="External"/><Relationship Id="rId27" Type="http://schemas.openxmlformats.org/officeDocument/2006/relationships/hyperlink" Target="http://www.bescha.bund.de/DE/Startseite/home_node.html" TargetMode="External"/><Relationship Id="rId30" Type="http://schemas.openxmlformats.org/officeDocument/2006/relationships/hyperlink" Target="http://www.oecd.org/officialdocuments/publicdisplaydocumentpdf/?cote=GOV/SIGMA(2010)3/REV1&amp;docLanguage=En" TargetMode="External"/><Relationship Id="rId35" Type="http://schemas.openxmlformats.org/officeDocument/2006/relationships/hyperlink" Target="http://www.legifrance.gouv.fr/affichCode.do?cidTexte=LEGITEXT000005627819" TargetMode="Externa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eur-lex.europa.eu/legal-content/CS/TXT/?uri=CELEX:32013R1336" TargetMode="External"/><Relationship Id="rId13" Type="http://schemas.openxmlformats.org/officeDocument/2006/relationships/hyperlink" Target="http://www.oecd.org/officialdocuments/publicdisplaydocumentpdf/?cote=GOV/SIGMA(2010)3/REV1&amp;docLanguage=En" TargetMode="External"/><Relationship Id="rId3" Type="http://schemas.openxmlformats.org/officeDocument/2006/relationships/hyperlink" Target="http://www.bbg.gv.at/lieferanten/kundenlisten/bund/" TargetMode="External"/><Relationship Id="rId7" Type="http://schemas.openxmlformats.org/officeDocument/2006/relationships/hyperlink" Target="http://www.publiccontractsscotland.gov.uk/" TargetMode="External"/><Relationship Id="rId12" Type="http://schemas.openxmlformats.org/officeDocument/2006/relationships/hyperlink" Target="http://www.bescha.bund.de/SharedDocs/Downloads/02_kdb_subsite/gesetze_beschluesse_etc/einsparungsmonitor.html;jsessionid=D40F719EA90A11E62212251147CDABF8.1_cid389" TargetMode="External"/><Relationship Id="rId2" Type="http://schemas.openxmlformats.org/officeDocument/2006/relationships/hyperlink" Target="http://www.bbg.gv.at/ueber-uns/unternehmen/organisation/" TargetMode="External"/><Relationship Id="rId16" Type="http://schemas.openxmlformats.org/officeDocument/2006/relationships/hyperlink" Target="https://www.acquistinretepa.it/opencms/opencms/" TargetMode="External"/><Relationship Id="rId1" Type="http://schemas.openxmlformats.org/officeDocument/2006/relationships/hyperlink" Target="http://www.bbg.gv.at/kunden/beratung/vergabekompetenz-center/gesetze-verordnungen/bestimmungen-zur-bbg/" TargetMode="External"/><Relationship Id="rId6" Type="http://schemas.openxmlformats.org/officeDocument/2006/relationships/hyperlink" Target="https://www.ris.bka.gv.at/GeltendeFassung.wxe?Abfrage=Bundesnormen&amp;Gesetzesnummer=20004547" TargetMode="External"/><Relationship Id="rId11" Type="http://schemas.openxmlformats.org/officeDocument/2006/relationships/hyperlink" Target="http://www.evergabe-online.info/e-Vergabe/DE/Home/homepage_node.html" TargetMode="External"/><Relationship Id="rId5" Type="http://schemas.openxmlformats.org/officeDocument/2006/relationships/hyperlink" Target="http://www.bbg.gv.at/kunden/beratung/vergabekompetenz-center/gesetze-verordnungen/bestimmungen-zur-bbg/" TargetMode="External"/><Relationship Id="rId15" Type="http://schemas.openxmlformats.org/officeDocument/2006/relationships/hyperlink" Target="https://www.marches-publics.gouv.fr/index.php?page=entreprise.EntrepriseHome&amp;lang=en" TargetMode="External"/><Relationship Id="rId10" Type="http://schemas.openxmlformats.org/officeDocument/2006/relationships/hyperlink" Target="http://www.kdb.bund.de/SharedDocs/Downloads/02_kdb_subsite/gesetze_beschluesse_etc/ProduktlisteZustaendigkeiten.html?nn=4069036" TargetMode="External"/><Relationship Id="rId4" Type="http://schemas.openxmlformats.org/officeDocument/2006/relationships/hyperlink" Target="http://www.bbg.gv.at/kunden/bbg-kunde-werden/vereinbarung/" TargetMode="External"/><Relationship Id="rId9" Type="http://schemas.openxmlformats.org/officeDocument/2006/relationships/hyperlink" Target="https://www.contractsfinder.businesslink.gov.uk" TargetMode="External"/><Relationship Id="rId14" Type="http://schemas.openxmlformats.org/officeDocument/2006/relationships/hyperlink" Target="http://www.ugap.f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Motiv4703">
      <a:dk1>
        <a:srgbClr val="000000"/>
      </a:dk1>
      <a:lt1>
        <a:srgbClr val="FFFFFF"/>
      </a:lt1>
      <a:dk2>
        <a:srgbClr val="595959"/>
      </a:dk2>
      <a:lt2>
        <a:srgbClr val="F2F2F2"/>
      </a:lt2>
      <a:accent1>
        <a:srgbClr val="093D93"/>
      </a:accent1>
      <a:accent2>
        <a:srgbClr val="2DB9FF"/>
      </a:accent2>
      <a:accent3>
        <a:srgbClr val="FFF13F"/>
      </a:accent3>
      <a:accent4>
        <a:srgbClr val="FE8F3C"/>
      </a:accent4>
      <a:accent5>
        <a:srgbClr val="C00000"/>
      </a:accent5>
      <a:accent6>
        <a:srgbClr val="437326"/>
      </a:accent6>
      <a:hlink>
        <a:srgbClr val="009DEA"/>
      </a:hlink>
      <a:folHlink>
        <a:srgbClr val="A5A5A5"/>
      </a:folHlink>
    </a:clrScheme>
    <a:fontScheme name="Motiv 4703">
      <a:majorFont>
        <a:latin typeface="Segoe UI Semibold"/>
        <a:ea typeface=""/>
        <a:cs typeface=""/>
      </a:majorFont>
      <a:minorFont>
        <a:latin typeface="Cambria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4E39F-D62B-4E35-9BD1-1394C6738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4920</Words>
  <Characters>29028</Characters>
  <Application>Microsoft Office Word</Application>
  <DocSecurity>0</DocSecurity>
  <Lines>241</Lines>
  <Paragraphs>67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Anlýza praxe a zkušeností s realizací centrálního nákupu státu ve vybraných zemích EU</vt:lpstr>
    </vt:vector>
  </TitlesOfParts>
  <Company>MF</Company>
  <LinksUpToDate>false</LinksUpToDate>
  <CharactersWithSpaces>33881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Anlýza praxe a zkušeností s realizací centrálního nákupu státu ve vybraných zemích EU</dc:title>
  <dc:subject>XYZ</dc:subject>
  <dc:creator>47</dc:creator>
  <cp:lastModifiedBy>Janíčková Barbora Ing.</cp:lastModifiedBy>
  <cp:revision>8</cp:revision>
  <cp:lastPrinted>2015-03-31T14:01:00Z</cp:lastPrinted>
  <dcterms:created xsi:type="dcterms:W3CDTF">2015-02-12T15:04:00Z</dcterms:created>
  <dcterms:modified xsi:type="dcterms:W3CDTF">2015-03-31T14:01:00Z</dcterms:modified>
</cp:coreProperties>
</file>